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80" w:before="1600"/>
        <w:jc w:val="center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5324A"/>
          <w:sz w:val="27"/>
          <w:szCs w:val="27"/>
        </w:rPr>
        <w:t xml:space="preserve">计算机科学与技术学院</w:t>
      </w:r>
    </w:p>
    <w:p>
      <w:pPr>
        <w:spacing w:after="900"/>
        <w:jc w:val="center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5324A"/>
          <w:sz w:val="23"/>
          <w:szCs w:val="23"/>
        </w:rPr>
        <w:t xml:space="preserve">“大数据智能方向”综合工程设计</w:t>
      </w:r>
    </w:p>
    <w:p>
      <w:pPr>
        <w:spacing w:after="330"/>
        <w:jc w:val="center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37C78"/>
          <w:sz w:val="42"/>
          <w:szCs w:val="42"/>
        </w:rPr>
        <w:t xml:space="preserve">中期成果冻结报告</w:t>
      </w:r>
    </w:p>
    <w:p>
      <w:pPr>
        <w:spacing w:after="1100"/>
        <w:jc w:val="center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5324A"/>
          <w:sz w:val="30"/>
          <w:szCs w:val="30"/>
        </w:rPr>
        <w:t xml:space="preserve">基于主动探索的视觉地理定位方法设计与实现</w:t>
      </w:r>
    </w:p>
    <w:tbl>
      <w:tblPr>
        <w:tblW w:type="dxa" w:w="8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6700"/>
      </w:tblGrid>
      <w:tr>
        <w:trPr>
          <w:tblHeader/>
        </w:trPr>
        <w:tc>
          <w:tcPr>
            <w:tcW w:type="dxa" w:w="1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5324A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项目字段</w:t>
            </w:r>
          </w:p>
        </w:tc>
        <w:tc>
          <w:tcPr>
            <w:tcW w:type="dxa" w:w="6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5324A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内容</w:t>
            </w:r>
          </w:p>
        </w:tc>
      </w:tr>
      <w:tr>
        <w:tc>
          <w:tcPr>
            <w:tcW w:type="dxa" w:w="1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5324A"/>
                <w:sz w:val="18"/>
                <w:szCs w:val="18"/>
              </w:rPr>
              <w:t xml:space="preserve">小组人员</w:t>
            </w:r>
          </w:p>
        </w:tc>
        <w:tc>
          <w:tcPr>
            <w:tcW w:type="dxa" w:w="6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5324A"/>
                <w:sz w:val="18"/>
                <w:szCs w:val="18"/>
              </w:rPr>
              <w:t xml:space="preserve">陈德昕、李世显、陈龙辉</w:t>
            </w:r>
          </w:p>
        </w:tc>
      </w:tr>
      <w:tr>
        <w:tc>
          <w:tcPr>
            <w:tcW w:type="dxa" w:w="1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5324A"/>
                <w:sz w:val="18"/>
                <w:szCs w:val="18"/>
              </w:rPr>
              <w:t xml:space="preserve">指导教师</w:t>
            </w:r>
          </w:p>
        </w:tc>
        <w:tc>
          <w:tcPr>
            <w:tcW w:type="dxa" w:w="6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5324A"/>
                <w:sz w:val="18"/>
                <w:szCs w:val="18"/>
              </w:rPr>
              <w:t xml:space="preserve">王笛</w:t>
            </w:r>
          </w:p>
        </w:tc>
      </w:tr>
      <w:tr>
        <w:tc>
          <w:tcPr>
            <w:tcW w:type="dxa" w:w="1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5324A"/>
                <w:sz w:val="18"/>
                <w:szCs w:val="18"/>
              </w:rPr>
              <w:t xml:space="preserve">冻结日期</w:t>
            </w:r>
          </w:p>
        </w:tc>
        <w:tc>
          <w:tcPr>
            <w:tcW w:type="dxa" w:w="6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5324A"/>
                <w:sz w:val="18"/>
                <w:szCs w:val="18"/>
              </w:rPr>
              <w:t xml:space="preserve">2026年10月15日</w:t>
            </w:r>
          </w:p>
        </w:tc>
      </w:tr>
      <w:tr>
        <w:tc>
          <w:tcPr>
            <w:tcW w:type="dxa" w:w="1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5324A"/>
                <w:sz w:val="18"/>
                <w:szCs w:val="18"/>
              </w:rPr>
              <w:t xml:space="preserve">当前平台</w:t>
            </w:r>
          </w:p>
        </w:tc>
        <w:tc>
          <w:tcPr>
            <w:tcW w:type="dxa" w:w="6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5324A"/>
                <w:sz w:val="18"/>
                <w:szCs w:val="18"/>
              </w:rPr>
              <w:t xml:space="preserve">GeoNav实验工作台 V4.5</w:t>
            </w:r>
          </w:p>
        </w:tc>
      </w:tr>
      <w:tr>
        <w:tc>
          <w:tcPr>
            <w:tcW w:type="dxa" w:w="1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5324A"/>
                <w:sz w:val="18"/>
                <w:szCs w:val="18"/>
              </w:rPr>
              <w:t xml:space="preserve">稳定主方法</w:t>
            </w:r>
          </w:p>
        </w:tc>
        <w:tc>
          <w:tcPr>
            <w:tcW w:type="dxa" w:w="6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5324A"/>
                <w:sz w:val="18"/>
                <w:szCs w:val="18"/>
              </w:rPr>
              <w:t xml:space="preserve">Small256探索器 + EdgeTargetCue线索头</w:t>
            </w:r>
          </w:p>
        </w:tc>
      </w:tr>
    </w:tbl>
    <w:p>
      <w:pPr>
        <w:keepNext w:val="false"/>
        <w:spacing w:after="120" w:before="800" w:line="340"/>
        <w:jc w:val="center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52677F"/>
          <w:sz w:val="18"/>
          <w:szCs w:val="18"/>
        </w:rPr>
        <w:t xml:space="preserve">版本说明：本稿是在2026年10月2日教师模板中期报告之后形成的阶段冻结版。原Word、PDF、答辩PPT及历史实验原件保持不变；本稿统一纳入实际区域扩展、学习基线、平台V4.5和便携闭环结果。</w:t>
      </w:r>
    </w:p>
    <w:p>
      <w:r>
        <w:br w:type="page"/>
      </w:r>
    </w:p>
    <w:p>
      <w:pPr>
        <w:pStyle w:val="Heading1"/>
        <w:keepNext/>
        <w:spacing w:after="130" w:before="2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5324A"/>
          <w:sz w:val="29"/>
          <w:szCs w:val="29"/>
        </w:rPr>
        <w:t xml:space="preserve">一、阶段结论与完成度</w:t>
      </w:r>
    </w:p>
    <w:p>
      <w:pPr>
        <w:keepNext w:val="false"/>
        <w:spacing w:after="120" w:before="0" w:line="340"/>
        <w:ind w:firstLine="420"/>
        <w:jc w:val="both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5324A"/>
          <w:sz w:val="21"/>
          <w:szCs w:val="21"/>
        </w:rPr>
        <w:t xml:space="preserve">项目已经形成“训练过的单导航智能体 + 可交互地理环境 + 统一评测与追溯平台”的中期交付。M0主方法由冻结Sat2Cap视觉编码器、Small256探索器、EdgeTargetCue目标线索头和确定性动作门控组成；平台支持数据与任务登记、单步/单题/队列运行、同题对照、历史回放、外部模型接口、结果导出和模型身份绑定。</w:t>
      </w:r>
    </w:p>
    <w:tbl>
      <w:tblPr>
        <w:tblW w:type="dxa" w:w="8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50"/>
        <w:gridCol w:w="7150"/>
      </w:tblGrid>
      <w:tr>
        <w:tc>
          <w:tcPr>
            <w:tcW w:type="dxa" w:w="14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AF5F3" w:val="clear"/>
            <w:tcMar>
              <w:top w:type="dxa" w:w="130"/>
              <w:left w:type="dxa" w:w="100"/>
              <w:bottom w:type="dxa" w:w="13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137C78"/>
                <w:sz w:val="20"/>
                <w:szCs w:val="20"/>
              </w:rPr>
              <w:t xml:space="preserve">已完成</w:t>
            </w:r>
          </w:p>
        </w:tc>
        <w:tc>
          <w:tcPr>
            <w:tcW w:type="dxa" w:w="71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30"/>
              <w:left w:type="dxa" w:w="160"/>
              <w:bottom w:type="dxa" w:w="130"/>
              <w:right w:type="dxa" w:w="160"/>
            </w:tcMar>
          </w:tcPr>
          <w:p>
            <w:pPr>
              <w:keepNext w:val="false"/>
              <w:spacing w:after="0" w:before="0" w:line="300"/>
              <w:jc w:val="both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5324A"/>
                <w:sz w:val="21"/>
                <w:szCs w:val="21"/>
              </w:rPr>
              <w:t xml:space="preserve">原S2、S3、S4密度扩展、SwissView同模态迁移以及MassachusettsRoads 9 km²连续区域均保留通过结论；工作台V4.5和独立目录闭环已经工程验收。</w:t>
            </w:r>
          </w:p>
        </w:tc>
      </w:tr>
    </w:tbl>
    <w:p>
      <w:pPr>
        <w:spacing w:after="110"/>
      </w:pPr>
    </w:p>
    <w:tbl>
      <w:tblPr>
        <w:tblW w:type="dxa" w:w="8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50"/>
        <w:gridCol w:w="7150"/>
      </w:tblGrid>
      <w:tr>
        <w:tc>
          <w:tcPr>
            <w:tcW w:type="dxa" w:w="14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3E6" w:val="clear"/>
            <w:tcMar>
              <w:top w:type="dxa" w:w="130"/>
              <w:left w:type="dxa" w:w="100"/>
              <w:bottom w:type="dxa" w:w="13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9A5C00"/>
                <w:sz w:val="20"/>
                <w:szCs w:val="20"/>
              </w:rPr>
              <w:t xml:space="preserve">未通过</w:t>
            </w:r>
          </w:p>
        </w:tc>
        <w:tc>
          <w:tcPr>
            <w:tcW w:type="dxa" w:w="71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30"/>
              <w:left w:type="dxa" w:w="160"/>
              <w:bottom w:type="dxa" w:w="130"/>
              <w:right w:type="dxa" w:w="160"/>
            </w:tcMar>
          </w:tcPr>
          <w:p>
            <w:pPr>
              <w:keepNext w:val="false"/>
              <w:spacing w:after="0" w:before="0" w:line="300"/>
              <w:jc w:val="both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5324A"/>
                <w:sz w:val="21"/>
                <w:szCs w:val="21"/>
              </w:rPr>
              <w:t xml:space="preserve">MassGIS新产品10×10/15×15正式确认未满足全部门槛；GeoExplorer有限复现虽有训练收益，但目标有效性和同题Frontier门槛未过。负结果按照原停止条件保留。</w:t>
            </w:r>
          </w:p>
        </w:tc>
      </w:tr>
    </w:tbl>
    <w:p>
      <w:pPr>
        <w:spacing w:after="110"/>
      </w:pPr>
    </w:p>
    <w:tbl>
      <w:tblPr>
        <w:tblW w:type="dxa" w:w="8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50"/>
        <w:gridCol w:w="7150"/>
      </w:tblGrid>
      <w:tr>
        <w:tc>
          <w:tcPr>
            <w:tcW w:type="dxa" w:w="14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DECEC" w:val="clear"/>
            <w:tcMar>
              <w:top w:type="dxa" w:w="130"/>
              <w:left w:type="dxa" w:w="100"/>
              <w:bottom w:type="dxa" w:w="13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B84242"/>
                <w:sz w:val="20"/>
                <w:szCs w:val="20"/>
              </w:rPr>
              <w:t xml:space="preserve">待补齐</w:t>
            </w:r>
          </w:p>
        </w:tc>
        <w:tc>
          <w:tcPr>
            <w:tcW w:type="dxa" w:w="71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30"/>
              <w:left w:type="dxa" w:w="160"/>
              <w:bottom w:type="dxa" w:w="130"/>
              <w:right w:type="dxa" w:w="160"/>
            </w:tcMar>
          </w:tcPr>
          <w:p>
            <w:pPr>
              <w:keepNext w:val="false"/>
              <w:spacing w:after="0" w:before="0" w:line="300"/>
              <w:jc w:val="both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5324A"/>
                <w:sz w:val="21"/>
                <w:szCs w:val="21"/>
              </w:rPr>
              <w:t xml:space="preserve">论文级G1可靠学习基线、G2足迹核验的新来源共同确认、G3干净环境完整科研复跑仍缺。课程中期交付具备收束条件，论文证据尚未闭环。</w:t>
            </w:r>
          </w:p>
        </w:tc>
      </w:tr>
    </w:tbl>
    <w:p>
      <w:pPr>
        <w:pStyle w:val="Heading2"/>
        <w:keepNext/>
        <w:spacing w:after="13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37C78"/>
          <w:sz w:val="24"/>
          <w:szCs w:val="24"/>
        </w:rPr>
        <w:t xml:space="preserve">本期完成的工程链路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5324A"/>
          <w:sz w:val="21"/>
          <w:szCs w:val="21"/>
        </w:rPr>
        <w:t xml:space="preserve">环境、数据、任务、动作预算、SR/SG和逐步日志已经统一；越界耗步、末步到达和计划分母规则固定。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5324A"/>
          <w:sz w:val="21"/>
          <w:szCs w:val="21"/>
        </w:rPr>
        <w:t xml:space="preserve">冻结小模型能够根据连续局部航拍视觉自主选择上、右、下、左动作，目标坐标和未访问图块不进入策略。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5324A"/>
          <w:sz w:val="21"/>
          <w:szCs w:val="21"/>
        </w:rPr>
        <w:t xml:space="preserve">平台从历史回放发展为实时工作台，具备临时/正式实验、任务筛选、API配置、同题比较和可追溯导出。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5324A"/>
          <w:sz w:val="21"/>
          <w:szCs w:val="21"/>
        </w:rPr>
        <w:t xml:space="preserve">独立工作目录已完成创建、真实运行、保存、重启查阅和同配置复跑；同主机同依赖下输出与原封存一致。</w:t>
      </w:r>
    </w:p>
    <w:p>
      <w:r>
        <w:br w:type="page"/>
      </w:r>
    </w:p>
    <w:p>
      <w:pPr>
        <w:pStyle w:val="Heading1"/>
        <w:keepNext/>
        <w:spacing w:after="130" w:before="2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5324A"/>
          <w:sz w:val="29"/>
          <w:szCs w:val="29"/>
        </w:rPr>
        <w:t xml:space="preserve">二、方法与地理环境交互</w:t>
      </w:r>
    </w:p>
    <w:p>
      <w:pPr>
        <w:keepNext w:val="false"/>
        <w:spacing w:after="120" w:before="0" w:line="340"/>
        <w:ind w:firstLine="420"/>
        <w:jc w:val="both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5324A"/>
          <w:sz w:val="21"/>
          <w:szCs w:val="21"/>
        </w:rPr>
        <w:t xml:space="preserve">在线执行时，评测器只向Agent提供当前图、给定目标图、公开位置、访问历史和剩余预算。探索器持续提出覆盖方向；视觉线索头判断目标是否位于当前图块的可信邻接方向；门控满足置信度、合法性和未访问条件时采用线索，否则保留探索器建议。环境执行动作后返回新观察，直到首次到达目标或预算耗尽。</w:t>
      </w:r>
    </w:p>
    <w:p>
      <w:pPr>
        <w:spacing w:after="80" w:before="90"/>
        <w:jc w:val="center"/>
      </w:pPr>
      <w:r>
        <w:drawing>
          <wp:inline distT="0" distB="0" distL="0" distR="0">
            <wp:extent cx="5905500" cy="3457575"/>
            <wp:effectExtent t="0" r="0" b="0" l="0"/>
            <wp:docPr id="1" name="M0方法与评测边界" descr="M0方法与评测边界" title="M0方法与评测边界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457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0"/>
        <w:jc w:val="center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52677F"/>
          <w:sz w:val="17"/>
          <w:szCs w:val="17"/>
        </w:rPr>
        <w:t xml:space="preserve">图1  M0将探索动作和目标邻接证据组合在同一个导航Agent内；真实目标坐标和完整图块库只属于评测器。</w:t>
      </w:r>
    </w:p>
    <w:tbl>
      <w:tblPr>
        <w:tblW w:type="dxa" w:w="8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2500"/>
        <w:gridCol w:w="4400"/>
      </w:tblGrid>
      <w:tr>
        <w:trPr>
          <w:tblHeader/>
        </w:trPr>
        <w:tc>
          <w:tcPr>
            <w:tcW w:type="dxa" w:w="1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5324A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组成</w:t>
            </w:r>
          </w:p>
        </w:tc>
        <w:tc>
          <w:tcPr>
            <w:tcW w:type="dxa" w:w="2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5324A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当前实现</w:t>
            </w:r>
          </w:p>
        </w:tc>
        <w:tc>
          <w:tcPr>
            <w:tcW w:type="dxa" w:w="4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5324A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作用与状态</w:t>
            </w:r>
          </w:p>
        </w:tc>
      </w:tr>
      <w:tr>
        <w:tc>
          <w:tcPr>
            <w:tcW w:type="dxa" w:w="1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5324A"/>
                <w:sz w:val="18"/>
                <w:szCs w:val="18"/>
              </w:rPr>
              <w:t xml:space="preserve">视觉编码器</w:t>
            </w:r>
          </w:p>
        </w:tc>
        <w:tc>
          <w:tcPr>
            <w:tcW w:type="dxa" w:w="2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5324A"/>
                <w:sz w:val="18"/>
                <w:szCs w:val="18"/>
              </w:rPr>
              <w:t xml:space="preserve">Sat2Cap，冻结</w:t>
            </w:r>
          </w:p>
        </w:tc>
        <w:tc>
          <w:tcPr>
            <w:tcW w:type="dxa" w:w="4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5324A"/>
                <w:sz w:val="18"/>
                <w:szCs w:val="18"/>
              </w:rPr>
              <w:t xml:space="preserve">全局512维与局部4×768维特征；支持缓存</w:t>
            </w:r>
          </w:p>
        </w:tc>
      </w:tr>
      <w:tr>
        <w:tc>
          <w:tcPr>
            <w:tcW w:type="dxa" w:w="1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5324A"/>
                <w:sz w:val="18"/>
                <w:szCs w:val="18"/>
              </w:rPr>
              <w:t xml:space="preserve">探索器</w:t>
            </w:r>
          </w:p>
        </w:tc>
        <w:tc>
          <w:tcPr>
            <w:tcW w:type="dxa" w:w="2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5324A"/>
                <w:sz w:val="18"/>
                <w:szCs w:val="18"/>
              </w:rPr>
              <w:t xml:space="preserve">Small256，79.8万参数</w:t>
            </w:r>
          </w:p>
        </w:tc>
        <w:tc>
          <w:tcPr>
            <w:tcW w:type="dxa" w:w="4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5324A"/>
                <w:sz w:val="18"/>
                <w:szCs w:val="18"/>
              </w:rPr>
              <w:t xml:space="preserve">GRU记忆、动作/价值/预测头；目标通道使用拟合均值</w:t>
            </w:r>
          </w:p>
        </w:tc>
      </w:tr>
      <w:tr>
        <w:tc>
          <w:tcPr>
            <w:tcW w:type="dxa" w:w="1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5324A"/>
                <w:sz w:val="18"/>
                <w:szCs w:val="18"/>
              </w:rPr>
              <w:t xml:space="preserve">视觉线索头</w:t>
            </w:r>
          </w:p>
        </w:tc>
        <w:tc>
          <w:tcPr>
            <w:tcW w:type="dxa" w:w="2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5324A"/>
                <w:sz w:val="18"/>
                <w:szCs w:val="18"/>
              </w:rPr>
              <w:t xml:space="preserve">EdgeTargetCue，13.7万参数</w:t>
            </w:r>
          </w:p>
        </w:tc>
        <w:tc>
          <w:tcPr>
            <w:tcW w:type="dxa" w:w="4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5324A"/>
                <w:sz w:val="18"/>
                <w:szCs w:val="18"/>
              </w:rPr>
              <w:t xml:space="preserve">语义、局部关系和边缘连续性；五类邻接判断</w:t>
            </w:r>
          </w:p>
        </w:tc>
      </w:tr>
      <w:tr>
        <w:tc>
          <w:tcPr>
            <w:tcW w:type="dxa" w:w="1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5324A"/>
                <w:sz w:val="18"/>
                <w:szCs w:val="18"/>
              </w:rPr>
              <w:t xml:space="preserve">动作门控</w:t>
            </w:r>
          </w:p>
        </w:tc>
        <w:tc>
          <w:tcPr>
            <w:tcW w:type="dxa" w:w="2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5324A"/>
                <w:sz w:val="18"/>
                <w:szCs w:val="18"/>
              </w:rPr>
              <w:t xml:space="preserve">阈值0.50</w:t>
            </w:r>
          </w:p>
        </w:tc>
        <w:tc>
          <w:tcPr>
            <w:tcW w:type="dxa" w:w="4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5324A"/>
                <w:sz w:val="18"/>
                <w:szCs w:val="18"/>
              </w:rPr>
              <w:t xml:space="preserve">可信、合法且未访问时接管；无可训练参数</w:t>
            </w:r>
          </w:p>
        </w:tc>
      </w:tr>
    </w:tbl>
    <w:p>
      <w:pPr>
        <w:keepNext w:val="false"/>
        <w:spacing w:after="120" w:before="0" w:line="340"/>
        <w:jc w:val="both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52677F"/>
          <w:sz w:val="18"/>
          <w:szCs w:val="18"/>
        </w:rPr>
        <w:t xml:space="preserve">三个Seed是三套独立训练参数，每次实验选用其中一套；它们不构成多Agent或自动集成。Coverage3Radial共享上述权重，只在指定10×10协议中加入覆盖收益规划和径向保护。</w:t>
      </w:r>
    </w:p>
    <w:p>
      <w:r>
        <w:br w:type="page"/>
      </w:r>
    </w:p>
    <w:p>
      <w:pPr>
        <w:pStyle w:val="Heading1"/>
        <w:keepNext/>
        <w:spacing w:after="130" w:before="2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5324A"/>
          <w:sz w:val="29"/>
          <w:szCs w:val="29"/>
        </w:rPr>
        <w:t xml:space="preserve">三、评测口径与正式结果</w:t>
      </w:r>
    </w:p>
    <w:p>
      <w:pPr>
        <w:keepNext w:val="false"/>
        <w:spacing w:after="120" w:before="0" w:line="340"/>
        <w:ind w:firstLine="420"/>
        <w:jc w:val="both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5324A"/>
          <w:sz w:val="21"/>
          <w:szCs w:val="21"/>
        </w:rPr>
        <w:t xml:space="preserve">成功率SR以首动作前登记的计划任务数为分母。终局距离SG统计全部计划题的终局曼哈顿距离，成功题记0；米制协议按图块尺度换算。三个权重、重复路线、双网格和多个控制条件均不增加独立地理样本数。不同数据、预算和网格协议分别报告，不能连成累计提升曲线。</w:t>
      </w:r>
    </w:p>
    <w:tbl>
      <w:tblPr>
        <w:tblW w:type="dxa" w:w="8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50"/>
        <w:gridCol w:w="3300"/>
        <w:gridCol w:w="1050"/>
        <w:gridCol w:w="1150"/>
        <w:gridCol w:w="1650"/>
      </w:tblGrid>
      <w:tr>
        <w:trPr>
          <w:tblHeader/>
        </w:trPr>
        <w:tc>
          <w:tcPr>
            <w:tcW w:type="dxa" w:w="14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5324A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验收</w:t>
            </w:r>
          </w:p>
        </w:tc>
        <w:tc>
          <w:tcPr>
            <w:tcW w:type="dxa" w:w="3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5324A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协议与样本</w:t>
            </w:r>
          </w:p>
        </w:tc>
        <w:tc>
          <w:tcPr>
            <w:tcW w:type="dxa" w:w="10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5324A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SR</w:t>
            </w:r>
          </w:p>
        </w:tc>
        <w:tc>
          <w:tcPr>
            <w:tcW w:type="dxa" w:w="11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5324A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SG</w:t>
            </w:r>
          </w:p>
        </w:tc>
        <w:tc>
          <w:tcPr>
            <w:tcW w:type="dxa" w:w="16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5324A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结论</w:t>
            </w:r>
          </w:p>
        </w:tc>
      </w:tr>
      <w:tr>
        <w:tc>
          <w:tcPr>
            <w:tcW w:type="dxa" w:w="14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5324A"/>
                <w:sz w:val="18"/>
                <w:szCs w:val="18"/>
              </w:rPr>
              <w:t xml:space="preserve">S2稳定复验</w:t>
            </w:r>
          </w:p>
        </w:tc>
        <w:tc>
          <w:tcPr>
            <w:tcW w:type="dxa" w:w="3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5324A"/>
                <w:sz w:val="18"/>
                <w:szCs w:val="18"/>
              </w:rPr>
              <w:t xml:space="preserve">5×5/B10；100题×3权重；4源</w:t>
            </w:r>
          </w:p>
        </w:tc>
        <w:tc>
          <w:tcPr>
            <w:tcW w:type="dxa" w:w="10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5324A"/>
                <w:sz w:val="18"/>
                <w:szCs w:val="18"/>
              </w:rPr>
              <w:t xml:space="preserve">89.33%</w:t>
            </w:r>
          </w:p>
        </w:tc>
        <w:tc>
          <w:tcPr>
            <w:tcW w:type="dxa" w:w="11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5324A"/>
                <w:sz w:val="18"/>
                <w:szCs w:val="18"/>
              </w:rPr>
              <w:t xml:space="preserve">0.320格</w:t>
            </w:r>
          </w:p>
        </w:tc>
        <w:tc>
          <w:tcPr>
            <w:tcW w:type="dxa" w:w="16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5324A"/>
                <w:sz w:val="18"/>
                <w:szCs w:val="18"/>
              </w:rPr>
              <w:t xml:space="preserve">通过</w:t>
            </w:r>
          </w:p>
        </w:tc>
      </w:tr>
      <w:tr>
        <w:tc>
          <w:tcPr>
            <w:tcW w:type="dxa" w:w="14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5324A"/>
                <w:sz w:val="18"/>
                <w:szCs w:val="18"/>
              </w:rPr>
              <w:t xml:space="preserve">S3独立源图</w:t>
            </w:r>
          </w:p>
        </w:tc>
        <w:tc>
          <w:tcPr>
            <w:tcW w:type="dxa" w:w="3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5324A"/>
                <w:sz w:val="18"/>
                <w:szCs w:val="18"/>
              </w:rPr>
              <w:t xml:space="preserve">5×5/B10；250题×3权重；10源</w:t>
            </w:r>
          </w:p>
        </w:tc>
        <w:tc>
          <w:tcPr>
            <w:tcW w:type="dxa" w:w="10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5324A"/>
                <w:sz w:val="18"/>
                <w:szCs w:val="18"/>
              </w:rPr>
              <w:t xml:space="preserve">86.80%</w:t>
            </w:r>
          </w:p>
        </w:tc>
        <w:tc>
          <w:tcPr>
            <w:tcW w:type="dxa" w:w="11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5324A"/>
                <w:sz w:val="18"/>
                <w:szCs w:val="18"/>
              </w:rPr>
              <w:t xml:space="preserve">0.300格</w:t>
            </w:r>
          </w:p>
        </w:tc>
        <w:tc>
          <w:tcPr>
            <w:tcW w:type="dxa" w:w="16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5324A"/>
                <w:sz w:val="18"/>
                <w:szCs w:val="18"/>
              </w:rPr>
              <w:t xml:space="preserve">通过</w:t>
            </w:r>
          </w:p>
        </w:tc>
      </w:tr>
      <w:tr>
        <w:tc>
          <w:tcPr>
            <w:tcW w:type="dxa" w:w="14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5324A"/>
                <w:sz w:val="18"/>
                <w:szCs w:val="18"/>
              </w:rPr>
              <w:t xml:space="preserve">S4密度扩展</w:t>
            </w:r>
          </w:p>
        </w:tc>
        <w:tc>
          <w:tcPr>
            <w:tcW w:type="dxa" w:w="3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5324A"/>
                <w:sz w:val="18"/>
                <w:szCs w:val="18"/>
              </w:rPr>
              <w:t xml:space="preserve">10×10/B20；500题×3权重；20源</w:t>
            </w:r>
          </w:p>
        </w:tc>
        <w:tc>
          <w:tcPr>
            <w:tcW w:type="dxa" w:w="10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5324A"/>
                <w:sz w:val="18"/>
                <w:szCs w:val="18"/>
              </w:rPr>
              <w:t xml:space="preserve">77.13%</w:t>
            </w:r>
          </w:p>
        </w:tc>
        <w:tc>
          <w:tcPr>
            <w:tcW w:type="dxa" w:w="11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5324A"/>
                <w:sz w:val="18"/>
                <w:szCs w:val="18"/>
              </w:rPr>
              <w:t xml:space="preserve">1.201格</w:t>
            </w:r>
          </w:p>
        </w:tc>
        <w:tc>
          <w:tcPr>
            <w:tcW w:type="dxa" w:w="16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5324A"/>
                <w:sz w:val="18"/>
                <w:szCs w:val="18"/>
              </w:rPr>
              <w:t xml:space="preserve">通过；非面积扩展</w:t>
            </w:r>
          </w:p>
        </w:tc>
      </w:tr>
      <w:tr>
        <w:tc>
          <w:tcPr>
            <w:tcW w:type="dxa" w:w="14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5324A"/>
                <w:sz w:val="18"/>
                <w:szCs w:val="18"/>
              </w:rPr>
              <w:t xml:space="preserve">SwissView同模态</w:t>
            </w:r>
          </w:p>
        </w:tc>
        <w:tc>
          <w:tcPr>
            <w:tcW w:type="dxa" w:w="3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5324A"/>
                <w:sz w:val="18"/>
                <w:szCs w:val="18"/>
              </w:rPr>
              <w:t xml:space="preserve">5×5/B10；500题×3权重；20源</w:t>
            </w:r>
          </w:p>
        </w:tc>
        <w:tc>
          <w:tcPr>
            <w:tcW w:type="dxa" w:w="10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5324A"/>
                <w:sz w:val="18"/>
                <w:szCs w:val="18"/>
              </w:rPr>
              <w:t xml:space="preserve">86.80%</w:t>
            </w:r>
          </w:p>
        </w:tc>
        <w:tc>
          <w:tcPr>
            <w:tcW w:type="dxa" w:w="11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5324A"/>
                <w:sz w:val="18"/>
                <w:szCs w:val="18"/>
              </w:rPr>
              <w:t xml:space="preserve">0.381格</w:t>
            </w:r>
          </w:p>
        </w:tc>
        <w:tc>
          <w:tcPr>
            <w:tcW w:type="dxa" w:w="16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5324A"/>
                <w:sz w:val="18"/>
                <w:szCs w:val="18"/>
              </w:rPr>
              <w:t xml:space="preserve">通过；非跨视角</w:t>
            </w:r>
          </w:p>
        </w:tc>
      </w:tr>
      <w:tr>
        <w:tc>
          <w:tcPr>
            <w:tcW w:type="dxa" w:w="14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5324A"/>
                <w:sz w:val="18"/>
                <w:szCs w:val="18"/>
              </w:rPr>
              <w:t xml:space="preserve">连续9 km²区域</w:t>
            </w:r>
          </w:p>
        </w:tc>
        <w:tc>
          <w:tcPr>
            <w:tcW w:type="dxa" w:w="3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5324A"/>
                <w:sz w:val="18"/>
                <w:szCs w:val="18"/>
              </w:rPr>
              <w:t xml:space="preserve">10×10/B20；750题×3权重；10区</w:t>
            </w:r>
          </w:p>
        </w:tc>
        <w:tc>
          <w:tcPr>
            <w:tcW w:type="dxa" w:w="10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5324A"/>
                <w:sz w:val="18"/>
                <w:szCs w:val="18"/>
              </w:rPr>
              <w:t xml:space="preserve">68.04%</w:t>
            </w:r>
          </w:p>
        </w:tc>
        <w:tc>
          <w:tcPr>
            <w:tcW w:type="dxa" w:w="11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5324A"/>
                <w:sz w:val="18"/>
                <w:szCs w:val="18"/>
              </w:rPr>
              <w:t xml:space="preserve">648.53米</w:t>
            </w:r>
          </w:p>
        </w:tc>
        <w:tc>
          <w:tcPr>
            <w:tcW w:type="dxa" w:w="16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5324A"/>
                <w:sz w:val="18"/>
                <w:szCs w:val="18"/>
              </w:rPr>
              <w:t xml:space="preserve">Coverage通过</w:t>
            </w:r>
          </w:p>
        </w:tc>
      </w:tr>
    </w:tbl>
    <w:p>
      <w:pPr>
        <w:pStyle w:val="Heading2"/>
        <w:keepNext/>
        <w:spacing w:after="13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37C78"/>
          <w:sz w:val="24"/>
          <w:szCs w:val="24"/>
        </w:rPr>
        <w:t xml:space="preserve">实际区域扩展的失败边界</w:t>
      </w:r>
    </w:p>
    <w:p>
      <w:pPr>
        <w:keepNext w:val="false"/>
        <w:spacing w:after="120" w:before="0" w:line="340"/>
        <w:ind w:firstLine="420"/>
        <w:jc w:val="both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5324A"/>
          <w:sz w:val="21"/>
          <w:szCs w:val="21"/>
        </w:rPr>
        <w:t xml:space="preserve">在MassGIS新影像产品的10个空间隔离地区上，Coverage3Radial的10×10完整队列SR为54.62%、SG为883.47米；15×15为20.27%、2267.80米。10格长距离SG保护与15格主收益等必要项未过，目标对照按冻结条件未启动，因此没有升级默认。</w:t>
      </w:r>
    </w:p>
    <w:tbl>
      <w:tblPr>
        <w:tblW w:type="dxa" w:w="8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50"/>
        <w:gridCol w:w="1200"/>
        <w:gridCol w:w="1500"/>
        <w:gridCol w:w="1450"/>
        <w:gridCol w:w="2100"/>
      </w:tblGrid>
      <w:tr>
        <w:trPr>
          <w:tblHeader/>
        </w:trPr>
        <w:tc>
          <w:tcPr>
            <w:tcW w:type="dxa" w:w="23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5324A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新产品协议</w:t>
            </w:r>
          </w:p>
        </w:tc>
        <w:tc>
          <w:tcPr>
            <w:tcW w:type="dxa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5324A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M0 SR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5324A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Coverage SR</w:t>
            </w:r>
          </w:p>
        </w:tc>
        <w:tc>
          <w:tcPr>
            <w:tcW w:type="dxa" w:w="14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5324A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Coverage SG</w:t>
            </w:r>
          </w:p>
        </w:tc>
        <w:tc>
          <w:tcPr>
            <w:tcW w:type="dxa" w:w="2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5324A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状态</w:t>
            </w:r>
          </w:p>
        </w:tc>
      </w:tr>
      <w:tr>
        <w:tc>
          <w:tcPr>
            <w:tcW w:type="dxa" w:w="23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5324A"/>
                <w:sz w:val="18"/>
                <w:szCs w:val="18"/>
              </w:rPr>
              <w:t xml:space="preserve">10×10 / 9 km² / B20</w:t>
            </w:r>
          </w:p>
        </w:tc>
        <w:tc>
          <w:tcPr>
            <w:tcW w:type="dxa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5324A"/>
                <w:sz w:val="18"/>
                <w:szCs w:val="18"/>
              </w:rPr>
              <w:t xml:space="preserve">51.16%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5324A"/>
                <w:sz w:val="18"/>
                <w:szCs w:val="18"/>
              </w:rPr>
              <w:t xml:space="preserve">54.62%</w:t>
            </w:r>
          </w:p>
        </w:tc>
        <w:tc>
          <w:tcPr>
            <w:tcW w:type="dxa" w:w="14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5324A"/>
                <w:sz w:val="18"/>
                <w:szCs w:val="18"/>
              </w:rPr>
              <w:t xml:space="preserve">883.47米</w:t>
            </w:r>
          </w:p>
        </w:tc>
        <w:tc>
          <w:tcPr>
            <w:tcW w:type="dxa" w:w="2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5324A"/>
                <w:sz w:val="18"/>
                <w:szCs w:val="18"/>
              </w:rPr>
              <w:t xml:space="preserve">正式门槛未过</w:t>
            </w:r>
          </w:p>
        </w:tc>
      </w:tr>
      <w:tr>
        <w:tc>
          <w:tcPr>
            <w:tcW w:type="dxa" w:w="23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5324A"/>
                <w:sz w:val="18"/>
                <w:szCs w:val="18"/>
              </w:rPr>
              <w:t xml:space="preserve">15×15 / 20.25 km² / B20</w:t>
            </w:r>
          </w:p>
        </w:tc>
        <w:tc>
          <w:tcPr>
            <w:tcW w:type="dxa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5324A"/>
                <w:sz w:val="18"/>
                <w:szCs w:val="18"/>
              </w:rPr>
              <w:t xml:space="preserve">19.17%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5324A"/>
                <w:sz w:val="18"/>
                <w:szCs w:val="18"/>
              </w:rPr>
              <w:t xml:space="preserve">20.27%</w:t>
            </w:r>
          </w:p>
        </w:tc>
        <w:tc>
          <w:tcPr>
            <w:tcW w:type="dxa" w:w="14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5324A"/>
                <w:sz w:val="18"/>
                <w:szCs w:val="18"/>
              </w:rPr>
              <w:t xml:space="preserve">2267.80米</w:t>
            </w:r>
          </w:p>
        </w:tc>
        <w:tc>
          <w:tcPr>
            <w:tcW w:type="dxa" w:w="2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5324A"/>
                <w:sz w:val="18"/>
                <w:szCs w:val="18"/>
              </w:rPr>
              <w:t xml:space="preserve">正式门槛未过</w:t>
            </w:r>
          </w:p>
        </w:tc>
      </w:tr>
    </w:tbl>
    <w:p>
      <w:r>
        <w:br w:type="page"/>
      </w:r>
    </w:p>
    <w:p>
      <w:pPr>
        <w:pStyle w:val="Heading1"/>
        <w:keepNext/>
        <w:spacing w:after="130" w:before="2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5324A"/>
          <w:sz w:val="29"/>
          <w:szCs w:val="29"/>
        </w:rPr>
        <w:t xml:space="preserve">四、结果分账与学习基线</w:t>
      </w:r>
    </w:p>
    <w:p>
      <w:pPr>
        <w:spacing w:after="80" w:before="90"/>
        <w:jc w:val="center"/>
      </w:pPr>
      <w:r>
        <w:drawing>
          <wp:inline distT="0" distB="0" distL="0" distR="0">
            <wp:extent cx="5905500" cy="3362325"/>
            <wp:effectExtent t="0" r="0" b="0" l="0"/>
            <wp:docPr id="1" name="协议分账与学习基线" descr="协议分账与学习基线" title="协议分账与学习基线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362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0"/>
        <w:jc w:val="center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52677F"/>
          <w:sz w:val="17"/>
          <w:szCs w:val="17"/>
        </w:rPr>
        <w:t xml:space="preserve">图2  主方法在五个独立协议中分别通过；MassGIS新产品扩展和GeoExplorer学习基线保留未通过结论。所有纵轴从0开始，面板之间不作直接差值。</w:t>
      </w:r>
    </w:p>
    <w:p>
      <w:pPr>
        <w:pStyle w:val="Heading2"/>
        <w:keepNext/>
        <w:spacing w:after="13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37C78"/>
          <w:sz w:val="24"/>
          <w:szCs w:val="24"/>
        </w:rPr>
        <w:t xml:space="preserve">GeoExplorer有限复现</w:t>
      </w:r>
    </w:p>
    <w:p>
      <w:pPr>
        <w:keepNext w:val="false"/>
        <w:spacing w:after="120" w:before="0" w:line="340"/>
        <w:ind w:firstLine="420"/>
        <w:jc w:val="both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5324A"/>
          <w:sz w:val="21"/>
          <w:szCs w:val="21"/>
        </w:rPr>
        <w:t xml:space="preserve">为补齐公平学习对标，项目在冻结历史骨干上训练164997参数的PPO决策头，只比较原未屏蔽更新和与合法动作采样一致的更新。六臂合计245760环境步、1536次优化更新；分布一致性修正将同题Full SR从12.62%提高到29.76%，SG从3.312降到2.640格，三个种子均有正收益。</w:t>
      </w:r>
    </w:p>
    <w:tbl>
      <w:tblPr>
        <w:tblW w:type="dxa" w:w="8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500"/>
        <w:gridCol w:w="1050"/>
        <w:gridCol w:w="1350"/>
        <w:gridCol w:w="2100"/>
      </w:tblGrid>
      <w:tr>
        <w:trPr>
          <w:tblHeader/>
        </w:trPr>
        <w:tc>
          <w:tcPr>
            <w:tcW w:type="dxa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5324A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同一开发队列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5324A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成功/计划</w:t>
            </w:r>
          </w:p>
        </w:tc>
        <w:tc>
          <w:tcPr>
            <w:tcW w:type="dxa" w:w="10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5324A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SR</w:t>
            </w:r>
          </w:p>
        </w:tc>
        <w:tc>
          <w:tcPr>
            <w:tcW w:type="dxa" w:w="13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5324A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全终局SG</w:t>
            </w:r>
          </w:p>
        </w:tc>
        <w:tc>
          <w:tcPr>
            <w:tcW w:type="dxa" w:w="2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5324A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资格</w:t>
            </w:r>
          </w:p>
        </w:tc>
      </w:tr>
      <w:tr>
        <w:tc>
          <w:tcPr>
            <w:tcW w:type="dxa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5324A"/>
                <w:sz w:val="18"/>
                <w:szCs w:val="18"/>
              </w:rPr>
              <w:t xml:space="preserve">原PPO更新 / Full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5324A"/>
                <w:sz w:val="18"/>
                <w:szCs w:val="18"/>
              </w:rPr>
              <w:t xml:space="preserve">53/420</w:t>
            </w:r>
          </w:p>
        </w:tc>
        <w:tc>
          <w:tcPr>
            <w:tcW w:type="dxa" w:w="10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5324A"/>
                <w:sz w:val="18"/>
                <w:szCs w:val="18"/>
              </w:rPr>
              <w:t xml:space="preserve">12.62%</w:t>
            </w:r>
          </w:p>
        </w:tc>
        <w:tc>
          <w:tcPr>
            <w:tcW w:type="dxa" w:w="13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5324A"/>
                <w:sz w:val="18"/>
                <w:szCs w:val="18"/>
              </w:rPr>
              <w:t xml:space="preserve">3.312格</w:t>
            </w:r>
          </w:p>
        </w:tc>
        <w:tc>
          <w:tcPr>
            <w:tcW w:type="dxa" w:w="2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5324A"/>
                <w:sz w:val="18"/>
                <w:szCs w:val="18"/>
              </w:rPr>
              <w:t xml:space="preserve">对照</w:t>
            </w:r>
          </w:p>
        </w:tc>
      </w:tr>
      <w:tr>
        <w:tc>
          <w:tcPr>
            <w:tcW w:type="dxa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5324A"/>
                <w:sz w:val="18"/>
                <w:szCs w:val="18"/>
              </w:rPr>
              <w:t xml:space="preserve">分布一致性修正 / Full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5324A"/>
                <w:sz w:val="18"/>
                <w:szCs w:val="18"/>
              </w:rPr>
              <w:t xml:space="preserve">125/420</w:t>
            </w:r>
          </w:p>
        </w:tc>
        <w:tc>
          <w:tcPr>
            <w:tcW w:type="dxa" w:w="10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5324A"/>
                <w:sz w:val="18"/>
                <w:szCs w:val="18"/>
              </w:rPr>
              <w:t xml:space="preserve">29.76%</w:t>
            </w:r>
          </w:p>
        </w:tc>
        <w:tc>
          <w:tcPr>
            <w:tcW w:type="dxa" w:w="13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5324A"/>
                <w:sz w:val="18"/>
                <w:szCs w:val="18"/>
              </w:rPr>
              <w:t xml:space="preserve">2.640格</w:t>
            </w:r>
          </w:p>
        </w:tc>
        <w:tc>
          <w:tcPr>
            <w:tcW w:type="dxa" w:w="2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5324A"/>
                <w:sz w:val="18"/>
                <w:szCs w:val="18"/>
              </w:rPr>
              <w:t xml:space="preserve">未通过</w:t>
            </w:r>
          </w:p>
        </w:tc>
      </w:tr>
      <w:tr>
        <w:tc>
          <w:tcPr>
            <w:tcW w:type="dxa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5324A"/>
                <w:sz w:val="18"/>
                <w:szCs w:val="18"/>
              </w:rPr>
              <w:t xml:space="preserve">Frontier规则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5324A"/>
                <w:sz w:val="18"/>
                <w:szCs w:val="18"/>
              </w:rPr>
              <w:t xml:space="preserve">64/140</w:t>
            </w:r>
          </w:p>
        </w:tc>
        <w:tc>
          <w:tcPr>
            <w:tcW w:type="dxa" w:w="10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5324A"/>
                <w:sz w:val="18"/>
                <w:szCs w:val="18"/>
              </w:rPr>
              <w:t xml:space="preserve">45.71%</w:t>
            </w:r>
          </w:p>
        </w:tc>
        <w:tc>
          <w:tcPr>
            <w:tcW w:type="dxa" w:w="13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5324A"/>
                <w:sz w:val="18"/>
                <w:szCs w:val="18"/>
              </w:rPr>
              <w:t xml:space="preserve">2.207格</w:t>
            </w:r>
          </w:p>
        </w:tc>
        <w:tc>
          <w:tcPr>
            <w:tcW w:type="dxa" w:w="2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5324A"/>
                <w:sz w:val="18"/>
                <w:szCs w:val="18"/>
              </w:rPr>
              <w:t xml:space="preserve">规则基线</w:t>
            </w:r>
          </w:p>
        </w:tc>
      </w:tr>
    </w:tbl>
    <w:p>
      <w:pPr>
        <w:keepNext w:val="false"/>
        <w:spacing w:after="120" w:before="0" w:line="340"/>
        <w:jc w:val="both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5324A"/>
          <w:sz w:val="21"/>
          <w:szCs w:val="21"/>
        </w:rPr>
        <w:t xml:space="preserve">候选相对Mean仅提高0.95个百分点，相对Wrong提高1.19个百分点，来源组95%区间均跨0；同时低于Frontier。按照预登记规则，本因素在开发阶段收束，不选择最佳Seed替代三种子均值，不追加训练、扩模型或消费新区域。</w:t>
      </w:r>
    </w:p>
    <w:p>
      <w:r>
        <w:br w:type="page"/>
      </w:r>
    </w:p>
    <w:p>
      <w:pPr>
        <w:pStyle w:val="Heading1"/>
        <w:keepNext/>
        <w:spacing w:after="130" w:before="2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5324A"/>
          <w:sz w:val="29"/>
          <w:szCs w:val="29"/>
        </w:rPr>
        <w:t xml:space="preserve">五、交互平台与复现交付</w:t>
      </w:r>
    </w:p>
    <w:p>
      <w:pPr>
        <w:keepNext w:val="false"/>
        <w:spacing w:after="120" w:before="0" w:line="340"/>
        <w:ind w:firstLine="420"/>
        <w:jc w:val="both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5324A"/>
          <w:sz w:val="21"/>
          <w:szCs w:val="21"/>
        </w:rPr>
        <w:t xml:space="preserve">GeoNav实验工作台V4.5已经从“做题历史展示”扩展为独立实验平台。用户可以登记影像与任务，在页面选择数据、策略、Seed和预算，逐步观察Agent动作，运行当前题或整个任务，保存正式结果，导出JSON/CSV，并重新打开或另建同配置复跑。外部模型接口的密钥只保存在服务内存。</w:t>
      </w:r>
    </w:p>
    <w:p>
      <w:pPr>
        <w:spacing w:after="80" w:before="90"/>
        <w:jc w:val="center"/>
      </w:pPr>
      <w:r>
        <w:drawing>
          <wp:inline distT="0" distB="0" distL="0" distR="0">
            <wp:extent cx="3333750" cy="6334125"/>
            <wp:effectExtent t="0" r="0" b="0" l="0"/>
            <wp:docPr id="1" name="GeoNav V4.5方案与模型页面" descr="GeoNav V4.5方案与模型页面" title="GeoNav V4.5方案与模型页面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33750" cy="6334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0"/>
        <w:jc w:val="center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52677F"/>
          <w:sz w:val="17"/>
          <w:szCs w:val="17"/>
        </w:rPr>
        <w:t xml:space="preserve">图3  平台V4.5集中展示M0组成、权重指纹、协议通过范围和学习基线失败证据；目录浏览不调用模型。</w:t>
      </w:r>
    </w:p>
    <w:p>
      <w:r>
        <w:br w:type="page"/>
      </w:r>
    </w:p>
    <w:p>
      <w:pPr>
        <w:pStyle w:val="Heading1"/>
        <w:keepNext/>
        <w:spacing w:after="130" w:before="2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5324A"/>
          <w:sz w:val="29"/>
          <w:szCs w:val="29"/>
        </w:rPr>
        <w:t xml:space="preserve">六、便携闭环与质量保证</w:t>
      </w:r>
    </w:p>
    <w:p>
      <w:pPr>
        <w:keepNext w:val="false"/>
        <w:spacing w:after="120" w:before="0" w:line="340"/>
        <w:ind w:firstLine="420"/>
        <w:jc w:val="both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5324A"/>
          <w:sz w:val="21"/>
          <w:szCs w:val="21"/>
        </w:rPr>
        <w:t xml:space="preserve">项目已在独立工作目录中复制215项最小资产，使用同一台机器的既有Python环境运行已消费开发题。页面完成创建、当前题运行、队列继续、保存导出、服务重启、零推理查阅和同配置复跑。原运行与复跑共8条轨迹、160步，动作、模型输出和结果与原DATA-007封存记录一致，最大数值差为0。</w:t>
      </w:r>
    </w:p>
    <w:p>
      <w:pPr>
        <w:spacing w:after="80" w:before="90"/>
        <w:jc w:val="center"/>
      </w:pPr>
      <w:r>
        <w:drawing>
          <wp:inline distT="0" distB="0" distL="0" distR="0">
            <wp:extent cx="3714750" cy="2286000"/>
            <wp:effectExtent t="0" r="0" b="0" l="0"/>
            <wp:docPr id="1" name="便携副本目标与当前图加载" descr="便携副本目标与当前图加载" title="便携副本目标与当前图加载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1475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0"/>
        <w:jc w:val="center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52677F"/>
          <w:sz w:val="17"/>
          <w:szCs w:val="17"/>
        </w:rPr>
        <w:t xml:space="preserve">图4  独立工作目录能够读取给定目标与当前观察，并在重启后零推理查阅原记录。</w:t>
      </w:r>
    </w:p>
    <w:tbl>
      <w:tblPr>
        <w:tblW w:type="dxa" w:w="8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6300"/>
      </w:tblGrid>
      <w:tr>
        <w:trPr>
          <w:tblHeader/>
        </w:trPr>
        <w:tc>
          <w:tcPr>
            <w:tcW w:type="dxa" w:w="2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5324A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质量项</w:t>
            </w:r>
          </w:p>
        </w:tc>
        <w:tc>
          <w:tcPr>
            <w:tcW w:type="dxa" w:w="6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5324A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验证结果</w:t>
            </w:r>
          </w:p>
        </w:tc>
      </w:tr>
      <w:tr>
        <w:tc>
          <w:tcPr>
            <w:tcW w:type="dxa" w:w="2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5324A"/>
                <w:sz w:val="18"/>
                <w:szCs w:val="18"/>
              </w:rPr>
              <w:t xml:space="preserve">输入与源码</w:t>
            </w:r>
          </w:p>
        </w:tc>
        <w:tc>
          <w:tcPr>
            <w:tcW w:type="dxa" w:w="6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5324A"/>
                <w:sz w:val="18"/>
                <w:szCs w:val="18"/>
              </w:rPr>
              <w:t xml:space="preserve">首动作前SHA绑定；旧实验和模型原件保持</w:t>
            </w:r>
          </w:p>
        </w:tc>
      </w:tr>
      <w:tr>
        <w:tc>
          <w:tcPr>
            <w:tcW w:type="dxa" w:w="2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5324A"/>
                <w:sz w:val="18"/>
                <w:szCs w:val="18"/>
              </w:rPr>
              <w:t xml:space="preserve">导航复现</w:t>
            </w:r>
          </w:p>
        </w:tc>
        <w:tc>
          <w:tcPr>
            <w:tcW w:type="dxa" w:w="6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5324A"/>
                <w:sz w:val="18"/>
                <w:szCs w:val="18"/>
              </w:rPr>
              <w:t xml:space="preserve">8轨迹/160步；原运行、复跑与旧封存输出一致</w:t>
            </w:r>
          </w:p>
        </w:tc>
      </w:tr>
      <w:tr>
        <w:tc>
          <w:tcPr>
            <w:tcW w:type="dxa" w:w="2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5324A"/>
                <w:sz w:val="18"/>
                <w:szCs w:val="18"/>
              </w:rPr>
              <w:t xml:space="preserve">记录生命周期</w:t>
            </w:r>
          </w:p>
        </w:tc>
        <w:tc>
          <w:tcPr>
            <w:tcW w:type="dxa" w:w="6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5324A"/>
                <w:sz w:val="18"/>
                <w:szCs w:val="18"/>
              </w:rPr>
              <w:t xml:space="preserve">正式保存、重启查阅、另建复跑；原记录不覆盖</w:t>
            </w:r>
          </w:p>
        </w:tc>
      </w:tr>
      <w:tr>
        <w:tc>
          <w:tcPr>
            <w:tcW w:type="dxa" w:w="2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5324A"/>
                <w:sz w:val="18"/>
                <w:szCs w:val="18"/>
              </w:rPr>
              <w:t xml:space="preserve">平台界面</w:t>
            </w:r>
          </w:p>
        </w:tc>
        <w:tc>
          <w:tcPr>
            <w:tcW w:type="dxa" w:w="6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5324A"/>
                <w:sz w:val="18"/>
                <w:szCs w:val="18"/>
              </w:rPr>
              <w:t xml:space="preserve">1440×1000和390×844；0 JavaScript异常、0横向溢出</w:t>
            </w:r>
          </w:p>
        </w:tc>
      </w:tr>
      <w:tr>
        <w:tc>
          <w:tcPr>
            <w:tcW w:type="dxa" w:w="2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5324A"/>
                <w:sz w:val="18"/>
                <w:szCs w:val="18"/>
              </w:rPr>
              <w:t xml:space="preserve">当前限制</w:t>
            </w:r>
          </w:p>
        </w:tc>
        <w:tc>
          <w:tcPr>
            <w:tcW w:type="dxa" w:w="6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5324A"/>
                <w:sz w:val="18"/>
                <w:szCs w:val="18"/>
              </w:rPr>
              <w:t xml:space="preserve">同主机同依赖；尚未构成干净新环境的完整科研G3</w:t>
            </w:r>
          </w:p>
        </w:tc>
      </w:tr>
    </w:tbl>
    <w:p>
      <w:pPr>
        <w:pStyle w:val="Heading2"/>
        <w:keepNext/>
        <w:spacing w:after="13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37C78"/>
          <w:sz w:val="24"/>
          <w:szCs w:val="24"/>
        </w:rPr>
        <w:t xml:space="preserve">当前存储与版本治理</w:t>
      </w:r>
    </w:p>
    <w:p>
      <w:pPr>
        <w:keepNext w:val="false"/>
        <w:spacing w:after="120" w:before="0" w:line="340"/>
        <w:ind w:firstLine="420"/>
        <w:jc w:val="both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5324A"/>
          <w:sz w:val="21"/>
          <w:szCs w:val="21"/>
        </w:rPr>
        <w:t xml:space="preserve">项目已清理无引用Git对象、可再生缓存和按用户授权淘汰的旧冷存储；当前约28 GiB。保留当前Small256/Edge、三份最终学习基线推理history、原始数据、关键日志与结果。版本生命周期登记当前入口、替代对象、回退位置和封存范围。</w:t>
      </w:r>
    </w:p>
    <w:p>
      <w:r>
        <w:br w:type="page"/>
      </w:r>
    </w:p>
    <w:p>
      <w:pPr>
        <w:pStyle w:val="Heading1"/>
        <w:keepNext/>
        <w:spacing w:after="130" w:before="2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5324A"/>
          <w:sz w:val="29"/>
          <w:szCs w:val="29"/>
        </w:rPr>
        <w:t xml:space="preserve">七、适用边界、问题与下一步</w:t>
      </w:r>
    </w:p>
    <w:tbl>
      <w:tblPr>
        <w:tblW w:type="dxa" w:w="8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50"/>
        <w:gridCol w:w="3500"/>
        <w:gridCol w:w="3650"/>
      </w:tblGrid>
      <w:tr>
        <w:trPr>
          <w:tblHeader/>
        </w:trPr>
        <w:tc>
          <w:tcPr>
            <w:tcW w:type="dxa" w:w="14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5324A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类别</w:t>
            </w:r>
          </w:p>
        </w:tc>
        <w:tc>
          <w:tcPr>
            <w:tcW w:type="dxa" w:w="3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5324A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已经确认</w:t>
            </w:r>
          </w:p>
        </w:tc>
        <w:tc>
          <w:tcPr>
            <w:tcW w:type="dxa" w:w="36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5324A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尚未确认</w:t>
            </w:r>
          </w:p>
        </w:tc>
      </w:tr>
      <w:tr>
        <w:tc>
          <w:tcPr>
            <w:tcW w:type="dxa" w:w="14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5324A"/>
                <w:sz w:val="18"/>
                <w:szCs w:val="18"/>
              </w:rPr>
              <w:t xml:space="preserve">目标模态</w:t>
            </w:r>
          </w:p>
        </w:tc>
        <w:tc>
          <w:tcPr>
            <w:tcW w:type="dxa" w:w="3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5324A"/>
                <w:sz w:val="18"/>
                <w:szCs w:val="18"/>
              </w:rPr>
              <w:t xml:space="preserve">同模态航拍目标图块</w:t>
            </w:r>
          </w:p>
        </w:tc>
        <w:tc>
          <w:tcPr>
            <w:tcW w:type="dxa" w:w="36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5324A"/>
                <w:sz w:val="18"/>
                <w:szCs w:val="18"/>
              </w:rPr>
              <w:t xml:space="preserve">地面照片、文本目标、跨视角</w:t>
            </w:r>
          </w:p>
        </w:tc>
      </w:tr>
      <w:tr>
        <w:tc>
          <w:tcPr>
            <w:tcW w:type="dxa" w:w="14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5324A"/>
                <w:sz w:val="18"/>
                <w:szCs w:val="18"/>
              </w:rPr>
              <w:t xml:space="preserve">方向与时相</w:t>
            </w:r>
          </w:p>
        </w:tc>
        <w:tc>
          <w:tcPr>
            <w:tcW w:type="dxa" w:w="3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5324A"/>
                <w:sz w:val="18"/>
                <w:szCs w:val="18"/>
              </w:rPr>
              <w:t xml:space="preserve">北向、同源或指定产品协议</w:t>
            </w:r>
          </w:p>
        </w:tc>
        <w:tc>
          <w:tcPr>
            <w:tcW w:type="dxa" w:w="36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5324A"/>
                <w:sz w:val="18"/>
                <w:szCs w:val="18"/>
              </w:rPr>
              <w:t xml:space="preserve">任意旋转、真实异时变化</w:t>
            </w:r>
          </w:p>
        </w:tc>
      </w:tr>
      <w:tr>
        <w:tc>
          <w:tcPr>
            <w:tcW w:type="dxa" w:w="14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5324A"/>
                <w:sz w:val="18"/>
                <w:szCs w:val="18"/>
              </w:rPr>
              <w:t xml:space="preserve">区域尺度</w:t>
            </w:r>
          </w:p>
        </w:tc>
        <w:tc>
          <w:tcPr>
            <w:tcW w:type="dxa" w:w="3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5324A"/>
                <w:sz w:val="18"/>
                <w:szCs w:val="18"/>
              </w:rPr>
              <w:t xml:space="preserve">5×5、密度10×10、指定9 km²协议</w:t>
            </w:r>
          </w:p>
        </w:tc>
        <w:tc>
          <w:tcPr>
            <w:tcW w:type="dxa" w:w="36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5324A"/>
                <w:sz w:val="18"/>
                <w:szCs w:val="18"/>
              </w:rPr>
              <w:t xml:space="preserve">MassGIS 15×15稳定泛化、无人机实飞</w:t>
            </w:r>
          </w:p>
        </w:tc>
      </w:tr>
      <w:tr>
        <w:tc>
          <w:tcPr>
            <w:tcW w:type="dxa" w:w="14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5324A"/>
                <w:sz w:val="18"/>
                <w:szCs w:val="18"/>
              </w:rPr>
              <w:t xml:space="preserve">系统形态</w:t>
            </w:r>
          </w:p>
        </w:tc>
        <w:tc>
          <w:tcPr>
            <w:tcW w:type="dxa" w:w="3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5324A"/>
                <w:sz w:val="18"/>
                <w:szCs w:val="18"/>
              </w:rPr>
              <w:t xml:space="preserve">训练过的单导航Agent及规则模块</w:t>
            </w:r>
          </w:p>
        </w:tc>
        <w:tc>
          <w:tcPr>
            <w:tcW w:type="dxa" w:w="36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5324A"/>
                <w:sz w:val="18"/>
                <w:szCs w:val="18"/>
              </w:rPr>
              <w:t xml:space="preserve">稳定收益的算法多Agent协作</w:t>
            </w:r>
          </w:p>
        </w:tc>
      </w:tr>
      <w:tr>
        <w:tc>
          <w:tcPr>
            <w:tcW w:type="dxa" w:w="14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5324A"/>
                <w:sz w:val="18"/>
                <w:szCs w:val="18"/>
              </w:rPr>
              <w:t xml:space="preserve">论文复现</w:t>
            </w:r>
          </w:p>
        </w:tc>
        <w:tc>
          <w:tcPr>
            <w:tcW w:type="dxa" w:w="3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5324A"/>
                <w:sz w:val="18"/>
                <w:szCs w:val="18"/>
              </w:rPr>
              <w:t xml:space="preserve">方法、参数、日志、失败案例和同主机闭环</w:t>
            </w:r>
          </w:p>
        </w:tc>
        <w:tc>
          <w:tcPr>
            <w:tcW w:type="dxa" w:w="36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5324A"/>
                <w:sz w:val="18"/>
                <w:szCs w:val="18"/>
              </w:rPr>
              <w:t xml:space="preserve">可靠学习基线、新来源共同确认、干净环境全复跑</w:t>
            </w:r>
          </w:p>
        </w:tc>
      </w:tr>
    </w:tbl>
    <w:p>
      <w:pPr>
        <w:pStyle w:val="Heading2"/>
        <w:keepNext/>
        <w:spacing w:after="13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37C78"/>
          <w:sz w:val="24"/>
          <w:szCs w:val="24"/>
        </w:rPr>
        <w:t xml:space="preserve">下一阶段任务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5324A"/>
          <w:sz w:val="21"/>
          <w:szCs w:val="21"/>
        </w:rPr>
        <w:t xml:space="preserve">G3工程层：在新的D盘隔离Python环境中解包并完成同一小闭环，固定依赖版本和资源上限；通过后再决定是否扩大到科研全复跑。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5324A"/>
          <w:sz w:val="21"/>
          <w:szCs w:val="21"/>
        </w:rPr>
        <w:t xml:space="preserve">G1研究层：停止修补当前GeoExplorer候选；若继续论文线，另立一个透明、轻量、目标条件化的Actor-Critic基线，参数不超过约100万，冻结一轮训练预算和失败停止条件。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5324A"/>
          <w:sz w:val="21"/>
          <w:szCs w:val="21"/>
        </w:rPr>
        <w:t xml:space="preserve">G2确认层：只有学习基线在开发阶段通过目标有效性、SR/SG和Frontier门槛后，才消费足迹核验的新来源共同队列；M0与基线同题执行。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5324A"/>
          <w:sz w:val="21"/>
          <w:szCs w:val="21"/>
        </w:rPr>
        <w:t xml:space="preserve">报告层：基于本冻结版更新最终论文和答辩PPT，保留所有未通过因素及适用范围，不以扩大参数或修改门槛追分。</w:t>
      </w:r>
    </w:p>
    <w:p>
      <w:pPr>
        <w:pStyle w:val="Heading2"/>
        <w:keepNext/>
        <w:spacing w:after="13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37C78"/>
          <w:sz w:val="24"/>
          <w:szCs w:val="24"/>
        </w:rPr>
        <w:t xml:space="preserve">中期结论</w:t>
      </w:r>
    </w:p>
    <w:p>
      <w:pPr>
        <w:keepNext w:val="false"/>
        <w:spacing w:after="120" w:before="0" w:line="340"/>
        <w:jc w:val="both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37C78"/>
          <w:sz w:val="21"/>
          <w:szCs w:val="21"/>
        </w:rPr>
        <w:t xml:space="preserve">项目已经达到课程中期交付要求：主动探索环境、训练过的轻量导航Agent、正式评测与日志、可交互工作台和可追溯材料均已形成。主方法在限定同模态航拍协议中有正式证据；大区域新产品和学习基线的失败揭示了表征漂移、误触发与目标泛化问题。后续工作的价值在于补齐论文证据链，而不是继续无边界增加训练轮数。</w:t>
      </w:r>
    </w:p>
    <w:p>
      <w:r>
        <w:br w:type="page"/>
      </w:r>
    </w:p>
    <w:p>
      <w:pPr>
        <w:pStyle w:val="Heading1"/>
        <w:keepNext/>
        <w:spacing w:after="130" w:before="2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5324A"/>
          <w:sz w:val="29"/>
          <w:szCs w:val="29"/>
        </w:rPr>
        <w:t xml:space="preserve">附录：主要证据入口</w:t>
      </w:r>
    </w:p>
    <w:tbl>
      <w:tblPr>
        <w:tblW w:type="dxa" w:w="8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50"/>
        <w:gridCol w:w="6550"/>
      </w:tblGrid>
      <w:tr>
        <w:trPr>
          <w:tblHeader/>
        </w:trPr>
        <w:tc>
          <w:tcPr>
            <w:tcW w:type="dxa" w:w="20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5324A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用途</w:t>
            </w:r>
          </w:p>
        </w:tc>
        <w:tc>
          <w:tcPr>
            <w:tcW w:type="dxa" w:w="65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5324A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项目内入口</w:t>
            </w:r>
          </w:p>
        </w:tc>
      </w:tr>
      <w:tr>
        <w:tc>
          <w:tcPr>
            <w:tcW w:type="dxa" w:w="20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5324A"/>
                <w:sz w:val="18"/>
                <w:szCs w:val="18"/>
              </w:rPr>
              <w:t xml:space="preserve">当前事实与任务</w:t>
            </w:r>
          </w:p>
        </w:tc>
        <w:tc>
          <w:tcPr>
            <w:tcW w:type="dxa" w:w="65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5324A"/>
                <w:sz w:val="18"/>
                <w:szCs w:val="18"/>
              </w:rPr>
              <w:t xml:space="preserve">docs/PROJECT_STATE.md；.agents/TASKS.md；.agents/HANDOFF.md</w:t>
            </w:r>
          </w:p>
        </w:tc>
      </w:tr>
      <w:tr>
        <w:tc>
          <w:tcPr>
            <w:tcW w:type="dxa" w:w="20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5324A"/>
                <w:sz w:val="18"/>
                <w:szCs w:val="18"/>
              </w:rPr>
              <w:t xml:space="preserve">稳定默认</w:t>
            </w:r>
          </w:p>
        </w:tc>
        <w:tc>
          <w:tcPr>
            <w:tcW w:type="dxa" w:w="65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5324A"/>
                <w:sz w:val="18"/>
                <w:szCs w:val="18"/>
              </w:rPr>
              <w:t xml:space="preserve">project/local_policy_default.json</w:t>
            </w:r>
          </w:p>
        </w:tc>
      </w:tr>
      <w:tr>
        <w:tc>
          <w:tcPr>
            <w:tcW w:type="dxa" w:w="20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5324A"/>
                <w:sz w:val="18"/>
                <w:szCs w:val="18"/>
              </w:rPr>
              <w:t xml:space="preserve">正式验收</w:t>
            </w:r>
          </w:p>
        </w:tc>
        <w:tc>
          <w:tcPr>
            <w:tcW w:type="dxa" w:w="65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5324A"/>
                <w:sz w:val="18"/>
                <w:szCs w:val="18"/>
              </w:rPr>
              <w:t xml:space="preserve">Masa S2/S3/S4、SwissView五乘五、MasaRoads径向保护批次</w:t>
            </w:r>
          </w:p>
        </w:tc>
      </w:tr>
      <w:tr>
        <w:tc>
          <w:tcPr>
            <w:tcW w:type="dxa" w:w="20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5324A"/>
                <w:sz w:val="18"/>
                <w:szCs w:val="18"/>
              </w:rPr>
              <w:t xml:space="preserve">扩展失败</w:t>
            </w:r>
          </w:p>
        </w:tc>
        <w:tc>
          <w:tcPr>
            <w:tcW w:type="dxa" w:w="65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5324A"/>
                <w:sz w:val="18"/>
                <w:szCs w:val="18"/>
              </w:rPr>
              <w:t xml:space="preserve">MassGIS正式十乘十十五乘十五确认_v1</w:t>
            </w:r>
          </w:p>
        </w:tc>
      </w:tr>
      <w:tr>
        <w:tc>
          <w:tcPr>
            <w:tcW w:type="dxa" w:w="20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5324A"/>
                <w:sz w:val="18"/>
                <w:szCs w:val="18"/>
              </w:rPr>
              <w:t xml:space="preserve">学习基线</w:t>
            </w:r>
          </w:p>
        </w:tc>
        <w:tc>
          <w:tcPr>
            <w:tcW w:type="dxa" w:w="65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5324A"/>
                <w:sz w:val="18"/>
                <w:szCs w:val="18"/>
              </w:rPr>
              <w:t xml:space="preserve">GeoExplorer分布一致性成对开发_v1</w:t>
            </w:r>
          </w:p>
        </w:tc>
      </w:tr>
      <w:tr>
        <w:tc>
          <w:tcPr>
            <w:tcW w:type="dxa" w:w="20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5324A"/>
                <w:sz w:val="18"/>
                <w:szCs w:val="18"/>
              </w:rPr>
              <w:t xml:space="preserve">平台V4.5</w:t>
            </w:r>
          </w:p>
        </w:tc>
        <w:tc>
          <w:tcPr>
            <w:tcW w:type="dxa" w:w="65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5324A"/>
                <w:sz w:val="18"/>
                <w:szCs w:val="18"/>
              </w:rPr>
              <w:t xml:space="preserve">平台/实验工作台_v4/方案与模型_v1</w:t>
            </w:r>
          </w:p>
        </w:tc>
      </w:tr>
      <w:tr>
        <w:tc>
          <w:tcPr>
            <w:tcW w:type="dxa" w:w="20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5324A"/>
                <w:sz w:val="18"/>
                <w:szCs w:val="18"/>
              </w:rPr>
              <w:t xml:space="preserve">便携闭环</w:t>
            </w:r>
          </w:p>
        </w:tc>
        <w:tc>
          <w:tcPr>
            <w:tcW w:type="dxa" w:w="65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5324A"/>
                <w:sz w:val="18"/>
                <w:szCs w:val="18"/>
              </w:rPr>
              <w:t xml:space="preserve">平台/实验工作台_v4/便携闭环_v1</w:t>
            </w:r>
          </w:p>
        </w:tc>
      </w:tr>
      <w:tr>
        <w:tc>
          <w:tcPr>
            <w:tcW w:type="dxa" w:w="20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5324A"/>
                <w:sz w:val="18"/>
                <w:szCs w:val="18"/>
              </w:rPr>
              <w:t xml:space="preserve">论文证据清单</w:t>
            </w:r>
          </w:p>
        </w:tc>
        <w:tc>
          <w:tcPr>
            <w:tcW w:type="dxa" w:w="65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5324A"/>
                <w:sz w:val="18"/>
                <w:szCs w:val="18"/>
              </w:rPr>
              <w:t xml:space="preserve">总结报告相关/论文复现交付_v1</w:t>
            </w:r>
          </w:p>
        </w:tc>
      </w:tr>
    </w:tbl>
    <w:p>
      <w:pPr>
        <w:keepNext w:val="false"/>
        <w:spacing w:after="120" w:before="0" w:line="340"/>
        <w:jc w:val="both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52677F"/>
          <w:sz w:val="18"/>
          <w:szCs w:val="18"/>
        </w:rPr>
        <w:t xml:space="preserve">图表设计说明：方法图采用训练/在线推理/评测边界三层架构；结果图采用三个独立面板，分别呈现通过协议、扩展失败和同题学习基线。科研图同时保存SVG/PDF/PNG，字体不小于8 pt，使用颜色与纹理双重编码，纵轴从0开始。</w:t>
      </w:r>
    </w:p>
    <w:sectPr>
      <w:headerReference w:type="default" r:id="rId7"/>
      <w:footerReference w:type="default" r:id="rId8"/>
      <w:pgSz w:w="11906" w:h="16838" w:orient="portrait"/>
      <w:pgMar w:top="850" w:right="850" w:bottom="850" w:left="8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Microsoft YaHei" w:cs="Microsoft YaHei" w:eastAsia="Microsoft YaHei" w:hAnsi="Microsoft YaHei"/>
        <w:b w:val="false"/>
        <w:bCs w:val="false"/>
        <w:i w:val="false"/>
        <w:iCs w:val="false"/>
        <w:color w:val="52677F"/>
        <w:sz w:val="16"/>
        <w:szCs w:val="16"/>
      </w:rPr>
      <w:t xml:space="preserve">— </w:t>
    </w:r>
    <w:r>
      <w:rPr>
        <w:rFonts w:ascii="Microsoft YaHei" w:cs="Microsoft YaHei" w:eastAsia="Microsoft YaHei" w:hAnsi="Microsoft YaHei"/>
        <w:color w:val="52677F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Microsoft YaHei" w:cs="Microsoft YaHei" w:eastAsia="Microsoft YaHei" w:hAnsi="Microsoft YaHei"/>
        <w:b w:val="false"/>
        <w:bCs w:val="false"/>
        <w:i w:val="false"/>
        <w:iCs w:val="false"/>
        <w:color w:val="52677F"/>
        <w:sz w:val="16"/>
        <w:szCs w:val="16"/>
      </w:rPr>
      <w:t xml:space="preserve"> —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37C78" w:sz="5" w:space="2"/>
      </w:pBdr>
      <w:tabs>
        <w:tab w:val="right" w:pos="9026"/>
      </w:tabs>
    </w:pPr>
    <w:r>
      <w:rPr>
        <w:rFonts w:ascii="Microsoft YaHei" w:cs="Microsoft YaHei" w:eastAsia="Microsoft YaHei" w:hAnsi="Microsoft YaHei"/>
        <w:b w:val="false"/>
        <w:bCs w:val="false"/>
        <w:i w:val="false"/>
        <w:iCs w:val="false"/>
        <w:color w:val="52677F"/>
        <w:sz w:val="16"/>
        <w:szCs w:val="16"/>
      </w:rPr>
      <w:t xml:space="preserve">主动探索视觉地理定位</w:t>
    </w:r>
    <w:r>
      <w:rPr>
        <w:rFonts w:ascii="Microsoft YaHei" w:cs="Microsoft YaHei" w:eastAsia="Microsoft YaHei" w:hAnsi="Microsoft YaHei"/>
        <w:b w:val="false"/>
        <w:bCs w:val="false"/>
        <w:i w:val="false"/>
        <w:iCs w:val="false"/>
        <w:color w:val="52677F"/>
        <w:sz w:val="16"/>
        <w:szCs w:val="16"/>
      </w:rPr>
      <w:t xml:space="preserve">	中期成果冻结版 · 2026-10-15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color w:val="15324A"/>
        <w:sz w:val="21"/>
        <w:szCs w:val="21"/>
      </w:rPr>
    </w:rPrDefault>
    <w:pPrDefault>
      <w:pPr>
        <w:spacing w:line="34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30" w:before="260"/>
      <w:outlineLvl w:val="0"/>
    </w:pPr>
    <w:rPr>
      <w:rFonts w:ascii="Microsoft YaHei" w:cs="Microsoft YaHei" w:eastAsia="Microsoft YaHei" w:hAnsi="Microsoft YaHei"/>
      <w:b/>
      <w:bCs/>
      <w:color w:val="15324A"/>
      <w:sz w:val="29"/>
      <w:szCs w:val="29"/>
    </w:rPr>
  </w:style>
  <w:style w:type="paragraph" w:styleId="Heading2">
    <w:name w:val="Heading 2"/>
    <w:basedOn w:val="Normal"/>
    <w:next w:val="Normal"/>
    <w:qFormat/>
    <w:pPr>
      <w:spacing w:after="110" w:before="180"/>
      <w:outlineLvl w:val="1"/>
    </w:pPr>
    <w:rPr>
      <w:rFonts w:ascii="Microsoft YaHei" w:cs="Microsoft YaHei" w:eastAsia="Microsoft YaHei" w:hAnsi="Microsoft YaHei"/>
      <w:b/>
      <w:bCs/>
      <w:color w:val="137C78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4c49771db7f9c7031dbd99c4cd80ba9e3b39263d.png"/><Relationship Id="rId10" Type="http://schemas.openxmlformats.org/officeDocument/2006/relationships/image" Target="media/b83234e0b78bb6d6576493ba24f92f0ab4036c40.png"/><Relationship Id="rId11" Type="http://schemas.openxmlformats.org/officeDocument/2006/relationships/image" Target="media/27f70d41cc9b16cca37e90be2d272cfcc22e3a50.png"/><Relationship Id="rId12" Type="http://schemas.openxmlformats.org/officeDocument/2006/relationships/image" Target="media/db36c17c6dc8436b11bebe70c4f406b870a63422.png"/><Relationship Id="rId1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基于主动探索的视觉地理定位方法设计与实现——中期成果冻结报告</dc:title>
  <dc:creator>Codex</dc:creator>
  <dc:description>DOC-007，冻结到2026-10-15</dc:description>
  <cp:lastModifiedBy>Un-named</cp:lastModifiedBy>
  <cp:revision>1</cp:revision>
  <dcterms:created xsi:type="dcterms:W3CDTF">2026-10-15T05:00:44.378Z</dcterms:created>
  <dcterms:modified xsi:type="dcterms:W3CDTF">2026-10-15T05:00:44.385Z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