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3E8E" w14:textId="0BA11A04" w:rsidR="002854D0" w:rsidRDefault="002854D0">
      <w:pPr>
        <w:spacing w:line="400" w:lineRule="exact"/>
      </w:pPr>
    </w:p>
    <w:p w14:paraId="3E6FB8C9" w14:textId="77777777" w:rsidR="00920EF6" w:rsidRDefault="00920EF6">
      <w:pPr>
        <w:spacing w:line="400" w:lineRule="exact"/>
      </w:pPr>
    </w:p>
    <w:p w14:paraId="399D8974" w14:textId="77777777" w:rsidR="002854D0" w:rsidRDefault="002854D0">
      <w:pPr>
        <w:spacing w:line="400" w:lineRule="exact"/>
      </w:pPr>
    </w:p>
    <w:p w14:paraId="6BAF05FF" w14:textId="77777777" w:rsidR="002854D0" w:rsidRDefault="002854D0">
      <w:pPr>
        <w:spacing w:line="400" w:lineRule="exact"/>
      </w:pPr>
    </w:p>
    <w:p w14:paraId="34860631" w14:textId="77777777" w:rsidR="002854D0" w:rsidRDefault="002854D0">
      <w:pPr>
        <w:spacing w:line="400" w:lineRule="exact"/>
      </w:pPr>
    </w:p>
    <w:p w14:paraId="14A857B3" w14:textId="77777777" w:rsidR="002854D0" w:rsidRDefault="002854D0">
      <w:pPr>
        <w:spacing w:line="400" w:lineRule="exact"/>
        <w:jc w:val="center"/>
        <w:rPr>
          <w:sz w:val="32"/>
        </w:rPr>
      </w:pPr>
    </w:p>
    <w:p w14:paraId="193935F6" w14:textId="77777777" w:rsidR="002854D0" w:rsidRDefault="002854D0">
      <w:pPr>
        <w:spacing w:line="600" w:lineRule="exact"/>
        <w:jc w:val="center"/>
        <w:rPr>
          <w:rFonts w:eastAsia="楷体_GB2312"/>
          <w:b/>
          <w:sz w:val="36"/>
        </w:rPr>
      </w:pPr>
    </w:p>
    <w:p w14:paraId="42D7E03B" w14:textId="2F3358BD" w:rsidR="002854D0" w:rsidRDefault="00CE19A5">
      <w:pPr>
        <w:spacing w:afterLines="50" w:after="156"/>
        <w:jc w:val="center"/>
        <w:rPr>
          <w:rFonts w:eastAsia="黑体"/>
          <w:sz w:val="72"/>
          <w:szCs w:val="24"/>
        </w:rPr>
      </w:pPr>
      <w:r>
        <w:rPr>
          <w:rFonts w:eastAsia="黑体" w:hint="eastAsia"/>
          <w:sz w:val="72"/>
          <w:szCs w:val="24"/>
        </w:rPr>
        <w:t>创新实践</w:t>
      </w:r>
      <w:r>
        <w:rPr>
          <w:rFonts w:eastAsia="黑体" w:hint="eastAsia"/>
          <w:sz w:val="72"/>
          <w:szCs w:val="24"/>
        </w:rPr>
        <w:t>3</w:t>
      </w:r>
    </w:p>
    <w:p w14:paraId="6EC2044F" w14:textId="77777777" w:rsidR="002854D0" w:rsidRDefault="002854D0">
      <w:pPr>
        <w:spacing w:afterLines="50" w:after="156"/>
        <w:jc w:val="center"/>
        <w:rPr>
          <w:rFonts w:eastAsia="黑体"/>
          <w:sz w:val="72"/>
          <w:szCs w:val="24"/>
        </w:rPr>
      </w:pPr>
    </w:p>
    <w:p w14:paraId="242C327A" w14:textId="77777777" w:rsidR="002854D0" w:rsidRDefault="00087CDD">
      <w:pPr>
        <w:pStyle w:val="Title"/>
        <w:jc w:val="center"/>
        <w:rPr>
          <w:rFonts w:eastAsia="黑体"/>
          <w:sz w:val="48"/>
        </w:rPr>
      </w:pPr>
      <w:r>
        <w:rPr>
          <w:rFonts w:eastAsia="楷体_GB2312" w:hint="eastAsia"/>
          <w:b/>
          <w:sz w:val="36"/>
        </w:rPr>
        <w:t>恒生基金业务模拟平台</w:t>
      </w:r>
    </w:p>
    <w:p w14:paraId="4E993BD3" w14:textId="77777777" w:rsidR="002854D0" w:rsidRDefault="00087CDD">
      <w:pPr>
        <w:jc w:val="center"/>
        <w:rPr>
          <w:rFonts w:eastAsia="黑体"/>
          <w:sz w:val="48"/>
        </w:rPr>
      </w:pPr>
      <w:r>
        <w:rPr>
          <w:rFonts w:eastAsia="黑体" w:hint="eastAsia"/>
          <w:sz w:val="48"/>
        </w:rPr>
        <w:t>需求规格说明书</w:t>
      </w:r>
    </w:p>
    <w:p w14:paraId="6798EEC2" w14:textId="77777777" w:rsidR="002854D0" w:rsidRDefault="002854D0">
      <w:pPr>
        <w:spacing w:line="400" w:lineRule="exact"/>
        <w:rPr>
          <w:sz w:val="24"/>
          <w:u w:val="single"/>
        </w:rPr>
      </w:pPr>
    </w:p>
    <w:p w14:paraId="710C71E6" w14:textId="77777777" w:rsidR="002854D0" w:rsidRDefault="002854D0">
      <w:pPr>
        <w:spacing w:line="400" w:lineRule="exact"/>
        <w:jc w:val="center"/>
        <w:rPr>
          <w:sz w:val="28"/>
        </w:rPr>
      </w:pPr>
    </w:p>
    <w:p w14:paraId="057A7434" w14:textId="77777777" w:rsidR="002854D0" w:rsidRDefault="002854D0">
      <w:pPr>
        <w:spacing w:line="400" w:lineRule="exact"/>
        <w:jc w:val="center"/>
        <w:rPr>
          <w:sz w:val="28"/>
        </w:rPr>
      </w:pPr>
    </w:p>
    <w:p w14:paraId="45C894E1" w14:textId="77777777" w:rsidR="002854D0" w:rsidRDefault="002854D0">
      <w:pPr>
        <w:spacing w:line="400" w:lineRule="exact"/>
        <w:jc w:val="center"/>
      </w:pPr>
    </w:p>
    <w:p w14:paraId="3B045919" w14:textId="77777777" w:rsidR="002854D0" w:rsidRDefault="002854D0">
      <w:pPr>
        <w:spacing w:line="400" w:lineRule="exact"/>
        <w:jc w:val="center"/>
      </w:pPr>
    </w:p>
    <w:p w14:paraId="30DAFA5C" w14:textId="77777777" w:rsidR="002854D0" w:rsidRDefault="002854D0">
      <w:pPr>
        <w:spacing w:line="400" w:lineRule="exact"/>
        <w:jc w:val="center"/>
      </w:pPr>
    </w:p>
    <w:p w14:paraId="5BC372F0" w14:textId="77777777" w:rsidR="002854D0" w:rsidRDefault="002854D0">
      <w:pPr>
        <w:spacing w:line="400" w:lineRule="exact"/>
        <w:jc w:val="center"/>
      </w:pPr>
    </w:p>
    <w:p w14:paraId="741D4105" w14:textId="77777777" w:rsidR="002854D0" w:rsidRDefault="002854D0">
      <w:pPr>
        <w:spacing w:line="400" w:lineRule="exact"/>
        <w:jc w:val="center"/>
      </w:pPr>
    </w:p>
    <w:p w14:paraId="215442DF" w14:textId="77777777" w:rsidR="002854D0" w:rsidRDefault="002854D0">
      <w:pPr>
        <w:spacing w:line="400" w:lineRule="exact"/>
        <w:jc w:val="center"/>
      </w:pPr>
    </w:p>
    <w:p w14:paraId="389627C6" w14:textId="77777777" w:rsidR="002854D0" w:rsidRDefault="002854D0">
      <w:pPr>
        <w:spacing w:line="400" w:lineRule="exact"/>
        <w:jc w:val="center"/>
      </w:pPr>
    </w:p>
    <w:p w14:paraId="7380AAB2" w14:textId="77777777" w:rsidR="002854D0" w:rsidRDefault="002854D0">
      <w:pPr>
        <w:spacing w:line="400" w:lineRule="exact"/>
        <w:jc w:val="center"/>
      </w:pPr>
    </w:p>
    <w:p w14:paraId="2A2171B7" w14:textId="77777777" w:rsidR="002854D0" w:rsidRDefault="002854D0">
      <w:pPr>
        <w:spacing w:line="400" w:lineRule="exact"/>
        <w:jc w:val="center"/>
      </w:pPr>
    </w:p>
    <w:p w14:paraId="6014477B" w14:textId="77777777" w:rsidR="002854D0" w:rsidRDefault="002854D0">
      <w:pPr>
        <w:jc w:val="center"/>
      </w:pPr>
    </w:p>
    <w:p w14:paraId="050716E6" w14:textId="77777777" w:rsidR="002854D0" w:rsidRDefault="002854D0">
      <w:pPr>
        <w:jc w:val="center"/>
      </w:pPr>
    </w:p>
    <w:p w14:paraId="7C062787" w14:textId="77777777" w:rsidR="002854D0" w:rsidRDefault="00087CDD">
      <w:pPr>
        <w:jc w:val="center"/>
        <w:rPr>
          <w:rFonts w:eastAsia="黑体"/>
          <w:sz w:val="28"/>
        </w:rPr>
      </w:pPr>
      <w:r>
        <w:rPr>
          <w:rFonts w:eastAsia="黑体" w:hint="eastAsia"/>
          <w:sz w:val="28"/>
        </w:rPr>
        <w:t>小组：                         成员：</w:t>
      </w:r>
    </w:p>
    <w:p w14:paraId="13276C2B" w14:textId="77777777" w:rsidR="002854D0" w:rsidRDefault="00087CDD">
      <w:pPr>
        <w:jc w:val="center"/>
        <w:rPr>
          <w:rFonts w:ascii="黑体" w:eastAsia="黑体"/>
          <w:sz w:val="28"/>
        </w:rPr>
        <w:sectPr w:rsidR="002854D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797" w:bottom="1440" w:left="1797" w:header="851" w:footer="992" w:gutter="284"/>
          <w:cols w:space="425"/>
          <w:docGrid w:type="lines" w:linePitch="312"/>
        </w:sectPr>
      </w:pPr>
      <w:r>
        <w:rPr>
          <w:rFonts w:ascii="黑体" w:eastAsia="黑体" w:hint="eastAsia"/>
          <w:sz w:val="28"/>
        </w:rPr>
        <w:t>2026年10月</w:t>
      </w:r>
    </w:p>
    <w:p w14:paraId="6A6D667D" w14:textId="77777777" w:rsidR="002854D0" w:rsidRDefault="002854D0">
      <w:pPr>
        <w:spacing w:line="400" w:lineRule="exact"/>
        <w:rPr>
          <w:smallCaps/>
        </w:rPr>
      </w:pPr>
    </w:p>
    <w:p w14:paraId="0201C472" w14:textId="77777777" w:rsidR="002854D0" w:rsidRDefault="00087CDD">
      <w:pPr>
        <w:spacing w:line="400" w:lineRule="exact"/>
        <w:jc w:val="center"/>
        <w:rPr>
          <w:b/>
          <w:sz w:val="30"/>
          <w:u w:val="single"/>
        </w:rPr>
      </w:pPr>
      <w:r>
        <w:rPr>
          <w:rFonts w:hint="eastAsia"/>
          <w:b/>
          <w:sz w:val="30"/>
          <w:u w:val="single"/>
        </w:rPr>
        <w:t>说</w:t>
      </w:r>
      <w:r>
        <w:rPr>
          <w:b/>
          <w:sz w:val="30"/>
          <w:u w:val="single"/>
        </w:rPr>
        <w:t xml:space="preserve">  </w:t>
      </w:r>
      <w:r>
        <w:rPr>
          <w:rFonts w:hint="eastAsia"/>
          <w:b/>
          <w:sz w:val="30"/>
          <w:u w:val="single"/>
        </w:rPr>
        <w:t>明</w:t>
      </w:r>
    </w:p>
    <w:p w14:paraId="18DA06A2" w14:textId="77777777" w:rsidR="002854D0" w:rsidRDefault="002854D0">
      <w:pPr>
        <w:spacing w:line="400" w:lineRule="exact"/>
        <w:jc w:val="center"/>
        <w:rPr>
          <w:b/>
        </w:rPr>
      </w:pPr>
    </w:p>
    <w:p w14:paraId="7F3D37B0" w14:textId="77777777" w:rsidR="002854D0" w:rsidRDefault="002854D0">
      <w:pPr>
        <w:pStyle w:val="TableHeadingCenter"/>
        <w:keepNext w:val="0"/>
        <w:keepLines w:val="0"/>
        <w:spacing w:before="0" w:after="0" w:line="400" w:lineRule="exact"/>
        <w:rPr>
          <w:rFonts w:ascii="宋体" w:eastAsia="宋体" w:hAnsi="Times New Roman"/>
        </w:rPr>
      </w:pPr>
    </w:p>
    <w:p w14:paraId="6A8E4CAD" w14:textId="77777777" w:rsidR="002854D0" w:rsidRDefault="00087CDD">
      <w:pPr>
        <w:spacing w:line="400" w:lineRule="exact"/>
        <w:ind w:firstLineChars="200" w:firstLine="422"/>
        <w:jc w:val="left"/>
        <w:rPr>
          <w:b/>
          <w:u w:val="single"/>
        </w:rPr>
      </w:pPr>
      <w:r>
        <w:rPr>
          <w:rFonts w:hint="eastAsia"/>
          <w:b/>
          <w:u w:val="single"/>
        </w:rPr>
        <w:t>本说明书用于创新实践3课程基金业务模拟平台的设计、开发与验收。保留既有基金销售和多模拟卡业务，接受业务编号、清算隔离、错误行情重清、当日申请文件四组改造需求。接受目标不等于已完成验收，资源和文件协议采用课程建议。课程资料和账户数据仅在课程协作范围使用，商业机密声明不适用。需求基线版本1.0，日期2026年10月13日。</w:t>
      </w:r>
    </w:p>
    <w:p w14:paraId="70207EDB" w14:textId="77777777" w:rsidR="002854D0" w:rsidRDefault="002854D0">
      <w:pPr>
        <w:spacing w:line="400" w:lineRule="exact"/>
        <w:jc w:val="left"/>
        <w:rPr>
          <w:b/>
          <w:u w:val="single"/>
        </w:rPr>
      </w:pPr>
    </w:p>
    <w:p w14:paraId="29AF9AFC" w14:textId="77777777" w:rsidR="002854D0" w:rsidRDefault="002854D0">
      <w:pPr>
        <w:spacing w:line="400" w:lineRule="exact"/>
        <w:jc w:val="center"/>
        <w:rPr>
          <w:b/>
          <w:u w:val="single"/>
        </w:rPr>
      </w:pPr>
    </w:p>
    <w:p w14:paraId="50D9801A" w14:textId="77777777" w:rsidR="002854D0" w:rsidRDefault="002854D0">
      <w:pPr>
        <w:spacing w:line="400" w:lineRule="exact"/>
        <w:jc w:val="center"/>
        <w:rPr>
          <w:b/>
          <w:u w:val="single"/>
        </w:rPr>
      </w:pPr>
    </w:p>
    <w:p w14:paraId="43143505" w14:textId="77777777" w:rsidR="002854D0" w:rsidRDefault="002854D0">
      <w:pPr>
        <w:spacing w:line="400" w:lineRule="exact"/>
        <w:jc w:val="center"/>
        <w:rPr>
          <w:b/>
          <w:u w:val="single"/>
        </w:rPr>
      </w:pPr>
    </w:p>
    <w:p w14:paraId="7942D6E8" w14:textId="77777777" w:rsidR="002854D0" w:rsidRDefault="002854D0">
      <w:pPr>
        <w:spacing w:line="400" w:lineRule="exact"/>
        <w:jc w:val="center"/>
        <w:rPr>
          <w:b/>
          <w:u w:val="single"/>
        </w:rPr>
      </w:pPr>
    </w:p>
    <w:p w14:paraId="143B772C" w14:textId="77777777" w:rsidR="002854D0" w:rsidRDefault="002854D0">
      <w:pPr>
        <w:spacing w:line="400" w:lineRule="exact"/>
        <w:jc w:val="center"/>
        <w:rPr>
          <w:b/>
          <w:u w:val="single"/>
        </w:rPr>
      </w:pPr>
    </w:p>
    <w:p w14:paraId="4857943F" w14:textId="77777777" w:rsidR="002854D0" w:rsidRDefault="002854D0">
      <w:pPr>
        <w:spacing w:line="400" w:lineRule="exact"/>
        <w:jc w:val="center"/>
        <w:rPr>
          <w:b/>
          <w:u w:val="single"/>
        </w:rPr>
      </w:pPr>
    </w:p>
    <w:p w14:paraId="62DF16BE" w14:textId="77777777" w:rsidR="002854D0" w:rsidRDefault="002854D0">
      <w:pPr>
        <w:spacing w:line="400" w:lineRule="exact"/>
        <w:jc w:val="center"/>
        <w:rPr>
          <w:b/>
          <w:u w:val="single"/>
        </w:rPr>
      </w:pPr>
    </w:p>
    <w:p w14:paraId="23785968" w14:textId="77777777" w:rsidR="002854D0" w:rsidRDefault="002854D0">
      <w:pPr>
        <w:spacing w:line="400" w:lineRule="exact"/>
        <w:jc w:val="center"/>
        <w:rPr>
          <w:b/>
          <w:u w:val="single"/>
        </w:rPr>
      </w:pPr>
    </w:p>
    <w:p w14:paraId="5B0AB136" w14:textId="77777777" w:rsidR="002854D0" w:rsidRDefault="002854D0">
      <w:pPr>
        <w:spacing w:line="400" w:lineRule="exact"/>
        <w:jc w:val="center"/>
        <w:rPr>
          <w:b/>
          <w:u w:val="single"/>
        </w:rPr>
      </w:pPr>
    </w:p>
    <w:p w14:paraId="443D5AEE" w14:textId="77777777" w:rsidR="002854D0" w:rsidRDefault="002854D0">
      <w:pPr>
        <w:spacing w:line="400" w:lineRule="exact"/>
        <w:jc w:val="center"/>
        <w:rPr>
          <w:b/>
          <w:u w:val="single"/>
        </w:rPr>
      </w:pPr>
    </w:p>
    <w:p w14:paraId="00D62F09" w14:textId="77777777" w:rsidR="002854D0" w:rsidRDefault="002854D0">
      <w:pPr>
        <w:spacing w:line="400" w:lineRule="exact"/>
        <w:jc w:val="center"/>
        <w:rPr>
          <w:b/>
          <w:u w:val="single"/>
        </w:rPr>
        <w:sectPr w:rsidR="002854D0">
          <w:headerReference w:type="default" r:id="rId15"/>
          <w:footerReference w:type="default" r:id="rId16"/>
          <w:pgSz w:w="11906" w:h="16838"/>
          <w:pgMar w:top="1440" w:right="1797" w:bottom="1440" w:left="1797" w:header="851" w:footer="992" w:gutter="284"/>
          <w:pgNumType w:start="1"/>
          <w:cols w:space="425"/>
          <w:docGrid w:type="lines" w:linePitch="312"/>
        </w:sectPr>
      </w:pPr>
    </w:p>
    <w:p w14:paraId="33D72631" w14:textId="77777777" w:rsidR="002854D0" w:rsidRDefault="00087CDD">
      <w:pPr>
        <w:pStyle w:val="1"/>
        <w:numPr>
          <w:ilvl w:val="0"/>
          <w:numId w:val="0"/>
        </w:numPr>
        <w:spacing w:line="240" w:lineRule="auto"/>
        <w:ind w:left="432"/>
        <w:jc w:val="center"/>
      </w:pPr>
      <w:bookmarkStart w:id="0" w:name="_Toc423621773"/>
      <w:bookmarkStart w:id="1" w:name="_Toc423621933"/>
      <w:r>
        <w:rPr>
          <w:rFonts w:hint="eastAsia"/>
        </w:rPr>
        <w:lastRenderedPageBreak/>
        <w:t>目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  <w:bookmarkEnd w:id="0"/>
      <w:bookmarkEnd w:id="1"/>
    </w:p>
    <w:p>
      <w:pPr/>
      <w:r>
        <w:rPr/>
        <w:t xml:space="preserve"/>
      </w:r>
      <w:r>
        <w:fldChar w:fldCharType="begin"/>
      </w:r>
      <w:r>
        <w:instrText> TOC \o "1-2" \h \z \u </w:instrText>
      </w:r>
      <w:r>
        <w:fldChar w:fldCharType="separate"/>
      </w:r>
    </w:p>
    <w:p>
      <w:pPr>
        <w:spacing w:before="0" w:after="0" w:line="240" w:lineRule="auto"/>
      </w:pPr>
      <w:r>
        <w:rPr/>
        <w:t xml:space="preserve">1 引言</w:t>
      </w:r>
    </w:p>
    <w:p>
      <w:pPr>
        <w:spacing w:before="0" w:after="0" w:line="240" w:lineRule="auto"/>
      </w:pPr>
      <w:r>
        <w:rPr/>
        <w:t xml:space="preserve">1.1 编写目的</w:t>
      </w:r>
    </w:p>
    <w:p>
      <w:pPr>
        <w:spacing w:before="0" w:after="0" w:line="240" w:lineRule="auto"/>
      </w:pPr>
      <w:r>
        <w:rPr/>
        <w:t xml:space="preserve">1.2 目标与背景</w:t>
      </w:r>
    </w:p>
    <w:p>
      <w:pPr>
        <w:spacing w:before="0" w:after="0" w:line="240" w:lineRule="auto"/>
      </w:pPr>
      <w:r>
        <w:rPr/>
        <w:t xml:space="preserve">1.3 假定和约束</w:t>
      </w:r>
    </w:p>
    <w:p>
      <w:pPr>
        <w:spacing w:before="0" w:after="0" w:line="240" w:lineRule="auto"/>
      </w:pPr>
      <w:r>
        <w:rPr/>
        <w:t xml:space="preserve">1.4 术语定义</w:t>
      </w:r>
    </w:p>
    <w:p>
      <w:pPr>
        <w:spacing w:before="0" w:after="0" w:line="240" w:lineRule="auto"/>
      </w:pPr>
      <w:r>
        <w:rPr/>
        <w:t xml:space="preserve">1.5 文档编写约定</w:t>
      </w:r>
    </w:p>
    <w:p>
      <w:pPr>
        <w:spacing w:before="0" w:after="0" w:line="240" w:lineRule="auto"/>
      </w:pPr>
      <w:r>
        <w:rPr/>
        <w:t xml:space="preserve">1.6 参考资料</w:t>
      </w:r>
    </w:p>
    <w:p>
      <w:pPr>
        <w:spacing w:before="0" w:after="0" w:line="240" w:lineRule="auto"/>
      </w:pPr>
      <w:r>
        <w:rPr/>
        <w:t xml:space="preserve">2 需求综述</w:t>
      </w:r>
    </w:p>
    <w:p>
      <w:pPr>
        <w:spacing w:before="0" w:after="0" w:line="240" w:lineRule="auto"/>
      </w:pPr>
      <w:r>
        <w:rPr/>
        <w:t xml:space="preserve">2.1 系统用户范围</w:t>
      </w:r>
    </w:p>
    <w:p>
      <w:pPr>
        <w:spacing w:before="0" w:after="0" w:line="240" w:lineRule="auto"/>
      </w:pPr>
      <w:r>
        <w:rPr/>
        <w:t xml:space="preserve">2.2 业务流程分析</w:t>
      </w:r>
    </w:p>
    <w:p>
      <w:pPr>
        <w:spacing w:before="0" w:after="0" w:line="240" w:lineRule="auto"/>
      </w:pPr>
      <w:r>
        <w:rPr/>
        <w:t xml:space="preserve">2.3 功能综述</w:t>
      </w:r>
    </w:p>
    <w:p>
      <w:pPr>
        <w:spacing w:before="0" w:after="0" w:line="240" w:lineRule="auto"/>
      </w:pPr>
      <w:r>
        <w:rPr/>
        <w:t xml:space="preserve">3 功能需求</w:t>
      </w:r>
    </w:p>
    <w:p>
      <w:pPr>
        <w:spacing w:before="0" w:after="0" w:line="240" w:lineRule="auto"/>
      </w:pPr>
      <w:r>
        <w:rPr/>
        <w:t xml:space="preserve">3.1 身份与账户</w:t>
      </w:r>
    </w:p>
    <w:p>
      <w:pPr>
        <w:spacing w:before="0" w:after="0" w:line="240" w:lineRule="auto"/>
      </w:pPr>
      <w:r>
        <w:rPr/>
        <w:t xml:space="preserve">3.2 产品与普通交易</w:t>
      </w:r>
    </w:p>
    <w:p>
      <w:pPr>
        <w:spacing w:before="0" w:after="0" w:line="240" w:lineRule="auto"/>
      </w:pPr>
      <w:r>
        <w:rPr/>
        <w:t xml:space="preserve">3.3 扩展业务</w:t>
      </w:r>
    </w:p>
    <w:p>
      <w:pPr>
        <w:spacing w:before="0" w:after="0" w:line="240" w:lineRule="auto"/>
      </w:pPr>
      <w:r>
        <w:rPr/>
        <w:t xml:space="preserve">3.4 后台管理与查询</w:t>
      </w:r>
    </w:p>
    <w:p>
      <w:pPr>
        <w:spacing w:before="0" w:after="0" w:line="240" w:lineRule="auto"/>
      </w:pPr>
      <w:r>
        <w:rPr/>
        <w:t xml:space="preserve">3.5 新开发要求</w:t>
      </w:r>
    </w:p>
    <w:p>
      <w:pPr>
        <w:spacing w:before="0" w:after="0" w:line="240" w:lineRule="auto"/>
      </w:pPr>
      <w:r>
        <w:rPr/>
        <w:t xml:space="preserve">4 接口需求</w:t>
      </w:r>
    </w:p>
    <w:p>
      <w:pPr>
        <w:spacing w:before="0" w:after="0" w:line="240" w:lineRule="auto"/>
      </w:pPr>
      <w:r>
        <w:rPr/>
        <w:t xml:space="preserve">4.1 网站和后端内部接口</w:t>
      </w:r>
    </w:p>
    <w:p>
      <w:pPr>
        <w:spacing w:before="0" w:after="0" w:line="240" w:lineRule="auto"/>
      </w:pPr>
      <w:r>
        <w:rPr/>
        <w:t xml:space="preserve">4.2 行情和申请文件接口</w:t>
      </w:r>
    </w:p>
    <w:p>
      <w:pPr>
        <w:spacing w:before="0" w:after="0" w:line="240" w:lineRule="auto"/>
      </w:pPr>
      <w:r>
        <w:rPr/>
        <w:t xml:space="preserve">5 非功能性需求</w:t>
      </w:r>
    </w:p>
    <w:p>
      <w:pPr>
        <w:spacing w:before="0" w:after="0" w:line="240" w:lineRule="auto"/>
      </w:pPr>
      <w:r>
        <w:rPr/>
        <w:t xml:space="preserve">5.1 运行环境需求</w:t>
      </w:r>
    </w:p>
    <w:p>
      <w:pPr>
        <w:spacing w:before="0" w:after="0" w:line="240" w:lineRule="auto"/>
      </w:pPr>
      <w:r>
        <w:rPr/>
        <w:t xml:space="preserve">5.2 性能需求</w:t>
      </w:r>
    </w:p>
    <w:p>
      <w:pPr>
        <w:spacing w:before="0" w:after="0" w:line="240" w:lineRule="auto"/>
      </w:pPr>
      <w:r>
        <w:rPr/>
        <w:t xml:space="preserve">5.3 扩展性需求</w:t>
      </w:r>
    </w:p>
    <w:p>
      <w:pPr>
        <w:spacing w:before="0" w:after="0" w:line="240" w:lineRule="auto"/>
      </w:pPr>
      <w:r>
        <w:rPr/>
        <w:t xml:space="preserve">5.4 可靠性需求</w:t>
      </w:r>
    </w:p>
    <w:p>
      <w:pPr>
        <w:spacing w:before="0" w:after="0" w:line="240" w:lineRule="auto"/>
      </w:pPr>
      <w:r>
        <w:rPr/>
        <w:t xml:space="preserve">5.5 通用界面需求</w:t>
      </w:r>
    </w:p>
    <w:p>
      <w:pPr>
        <w:spacing w:before="0" w:after="0" w:line="240" w:lineRule="auto"/>
      </w:pPr>
      <w:r>
        <w:rPr/>
        <w:t xml:space="preserve">5.6 故障处理需求</w:t>
      </w:r>
    </w:p>
    <w:p>
      <w:pPr>
        <w:spacing w:before="0" w:after="0" w:line="240" w:lineRule="auto"/>
      </w:pPr>
      <w:r>
        <w:rPr/>
        <w:t xml:space="preserve">5.7 安全性需求</w:t>
      </w:r>
    </w:p>
    <w:p>
      <w:pPr>
        <w:spacing w:before="0" w:after="0" w:line="240" w:lineRule="auto"/>
      </w:pPr>
      <w:r>
        <w:rPr/>
        <w:t xml:space="preserve">5.8 其他需求</w:t>
      </w:r>
    </w:p>
    <w:p>
      <w:pPr>
        <w:spacing w:before="0" w:after="0" w:line="240" w:lineRule="auto"/>
      </w:pPr>
      <w:r>
        <w:rPr/>
        <w:t xml:space="preserve">6 需求追踪与验收状态</w:t>
      </w:r>
    </w:p>
    <w:p>
      <w:pPr/>
      <w:r>
        <w:rPr/>
        <w:t xml:space="preserve"/>
      </w:r>
      <w:r>
        <w:fldChar w:fldCharType="end"/>
      </w:r>
    </w:p>
    <w:p w14:paraId="643549E1" w14:textId="77777777" w:rsidR="002854D0" w:rsidRDefault="00087CDD">
      <w:pPr>
        <w:tabs>
          <w:tab w:val="left" w:pos="3780"/>
        </w:tabs>
        <w:jc w:val="center"/>
        <w:rPr>
          <w:rFonts w:ascii="黑体" w:eastAsia="黑体"/>
          <w:sz w:val="28"/>
        </w:rPr>
        <w:sectPr w:rsidR="002854D0">
          <w:footerReference w:type="default" r:id="rId17"/>
          <w:pgSz w:w="11906" w:h="16838"/>
          <w:pgMar w:top="1440" w:right="1797" w:bottom="1440" w:left="1797" w:header="851" w:footer="992" w:gutter="284"/>
          <w:cols w:space="425"/>
          <w:docGrid w:type="lines" w:linePitch="312"/>
        </w:sectPr>
      </w:pPr>
      <w:r>
        <w:rPr>
          <w:rFonts w:ascii="黑体" w:eastAsia="黑体"/>
          <w:szCs w:val="21"/>
        </w:rPr>
        <w:fldChar w:fldCharType="end"/>
      </w:r>
    </w:p>
    <w:p>
      <w:pPr>
        <w:pStyle w:val="1"/>
        <w:keepNext/>
        <w:numPr>
          <w:numId w:val="0"/>
        </w:numPr>
        <w:spacing w:line="240" w:lineRule="auto"/>
      </w:pPr>
      <w:r>
        <w:rPr>
          <w:color w:val="000000"/>
        </w:rPr>
        <w:t xml:space="preserve">1 引言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1.1 编写目的</w:t>
      </w:r>
    </w:p>
    <w:p>
      <w:pPr>
        <w:ind w:firstLineChars="200" w:firstLine="420"/>
      </w:pPr>
      <w:r>
        <w:rPr/>
        <w:t xml:space="preserve">为教师、小组开发人员、测试人员和演示操作人员定义业务边界、输入输出、异常、权限和可验收结果。后续设计、接口和测试使用同一需求编号；实现证据记录到验收矩阵，未完成测试的条目不能标为通过。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1.2 目标与背景</w:t>
      </w:r>
    </w:p>
    <w:p>
      <w:pPr>
        <w:ind w:firstLineChars="200" w:firstLine="420"/>
      </w:pPr>
      <w:r>
        <w:rPr/>
        <w:t xml:space="preserve">项目名称为恒生基金业务模拟平台，简称基金模拟平台；项目编号不适用。任务提出者为课程教师；开发者为课程小组，具体小组和成员在封面暂留空；用户为教师、学生投资者和管理员。项目是独立教学系统，通过浏览器演示场外公募基金销售、账户资金与份额、登记确认及后台处理。</w:t>
      </w:r>
    </w:p>
    <w:p>
      <w:pPr>
        <w:ind w:firstLineChars="200" w:firstLine="420"/>
      </w:pPr>
      <w:r>
        <w:rPr/>
        <w:t xml:space="preserve">前端Vue网站向Spring Boot后端发送HTTP/JSON；后端使用MySQL记录账户、申请、持仓、流水和审计。银行资金、卡和TA均为内部模拟，净值由管理员录入或演示生成，TA申请文件落本地文件并提供受控下载。不接真实银行、真实资金或真实TA，不定义SFTP、真实回执或监管报送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1.3 假定和约束</w:t>
      </w:r>
    </w:p>
    <w:p>
      <w:pPr>
        <w:ind w:firstLineChars="200" w:firstLine="420"/>
      </w:pPr>
      <w:r>
        <w:rPr/>
        <w:t xml:space="preserve">继续使用模块化单体、同一MySQL及既有Vue/Java技术。保留开户、适当性、多卡账户、充值提现、申购赎回、认购、定投、分红、货币收益、转换、换卡、清盘、通知和审计。不得自动借用另一张卡，不产生负现金、负份额或超冻结，不删除旧确认及账务历史。</w:t>
      </w:r>
    </w:p>
    <w:p>
      <w:pPr>
        <w:ind w:firstLineChars="200" w:firstLine="420"/>
      </w:pPr>
      <w:r>
        <w:rPr/>
        <w:t xml:space="preserve">原申请金额或份额、归属日、交易账户、来源卡、TA关系、费率及风险快照在确认和重清时保持。历史UUID订单号、主键、幂等键继续可读；它们不能替代业务编号。旧确认资料不完整时显示“历史确认编号未采集”，不补造时间或账务。V1至V13历史迁移不改写，升级先在独立测试库验证，演示库升级前备份并对账。</w:t>
      </w:r>
    </w:p>
    <w:p>
      <w:pPr>
        <w:ind w:firstLineChars="200" w:firstLine="420"/>
      </w:pPr>
      <w:r>
        <w:rPr/>
        <w:t xml:space="preserve">采用以下业务口径。这些已作为本次改造基线接受；老师后续有不同解释时必须更新规格和对应测试，不得在代码中另选口径。</w:t>
      </w:r>
    </w:p>
    <w:tbl>
      <w:tblPr>
        <w:tblW w:w="8009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0"/>
        <w:gridCol w:w="3150"/>
        <w:gridCol w:w="3259"/>
      </w:tblGrid>
      <w:tr>
        <w:trPr>
          <w:tblHeader/>
        </w:trPr>
        <w:tc>
          <w:tcPr>
            <w:tcW w:w="160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事项</w:t>
            </w:r>
          </w:p>
        </w:tc>
        <w:tc>
          <w:tcPr>
            <w:tcW w:w="315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本次采用口径</w:t>
            </w:r>
          </w:p>
        </w:tc>
        <w:tc>
          <w:tcPr>
            <w:tcW w:w="3259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来源与限制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编号宽度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yyyyMMdd加6位补零序列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老师文字“5位”与14位示例有差异，采用示例6位口径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序列范围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申请、确认各有独立每日全平台序列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两类文本可相同，必须连同类别辨识；不按账户、业务或TA重置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编号日期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申请取归属工作日；确认取本轮处理工作日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原有效日与更正处理日分别保存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非工作日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交易确认和重清顺延开放日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自然日货币收益仍按其业务规则处理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原申请来源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原金额/份额、来源卡、账户、TA和规则快照不变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不改成当前默认卡或当前规则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文件范围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全平台归属日有效申请，按源TA分组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申购、赎回、认购、转换、定投生成申购；已确认仍可重导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撤单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截止前已撤销不进入有效申请文件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记录排除数；撤销指令协议不适用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封账截止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封账晚于涵盖产品最晚截止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演示建议15:00受理截止、15:05封账、15:30前完成；需随产品配置调整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重清范围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已确认、模拟支付及预演冻结时点前的相关后续依赖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跨日申赎、转换、分红和货币收益按原因果顺序重放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重清不足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原请求份额不足或现金不能回收时整个影响范围阻断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不缩单、不透支、不跨卡补扣，旧结果仍有效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清盘边界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跨越已完成清盘时识别并阻断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不静默遗漏；清盘重放为首版延后范围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历史边界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仅完整可重放基线之后允许重清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基线前缺失历史需拒绝并报告来源，不能猜测</w:t>
            </w:r>
          </w:p>
        </w:tc>
      </w:tr>
    </w:tbl>
    <w:p>
      <w:pPr/>
      <w:r>
        <w:rPr/>
        <w:t xml:space="preserve"/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1.4 术语定义</w:t>
      </w:r>
    </w:p>
    <w:tbl>
      <w:tblPr>
        <w:tblW w:w="8009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04"/>
        <w:gridCol w:w="4005"/>
      </w:tblGrid>
      <w:tr>
        <w:trPr>
          <w:tblHeader/>
        </w:trPr>
        <w:tc>
          <w:tcPr>
            <w:tcW w:w="4004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术语</w:t>
            </w:r>
          </w:p>
        </w:tc>
        <w:tc>
          <w:tcPr>
            <w:tcW w:w="4005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定义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TA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Transfer Agent，基金登记过户机构，本项目内部模拟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交易账户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一张模拟卡对应的资金及交易归属账户，不等于用户总余额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基金账户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客户在特定TA的登记账户，按原交易关联保存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申请编号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受理成功后的业务编号，和数据库主键/请求幂等键用途不同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确认编号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每轮成功确认结果的编号，重清新结果有新编号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申请归属日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根据业务时钟、产品截止和交易日历确定的开放日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行情所属日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申请采用净值的日期，不能被清算处理日替代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清算处理日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本轮执行的工作日，也是确认编号日期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资产业务有效日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账务和持有期生效日期，重清保留原有效日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真实运行时间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真实机器执行时间，与演示业务时钟分开记录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行情修订集合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一次导入包含的一组产品及日期的新净值候选版本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清算轮次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一次可审计处理运行，关联节点、确认及资产变动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冲正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新增与旧效果相反的流水，再追加新结果；保留原记录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封账快照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在明确准入边界下固定当日有效申请及来源字段</w:t>
            </w:r>
          </w:p>
        </w:tc>
      </w:tr>
      <w:tr>
        <w:tc>
          <w:tcPr>
            <w:tcW w:w="4004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P95</w:t>
            </w:r>
          </w:p>
        </w:tc>
        <w:tc>
          <w:tcPr>
            <w:tcW w:w="4005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95%的有效请求耗时不高于的响应时间</w:t>
            </w:r>
          </w:p>
        </w:tc>
      </w:tr>
    </w:tbl>
    <w:p>
      <w:pPr/>
      <w:r>
        <w:rPr/>
        <w:t xml:space="preserve"/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1.5 文档编写约定</w:t>
      </w:r>
    </w:p>
    <w:p>
      <w:pPr>
        <w:ind w:firstLineChars="200" w:firstLine="420"/>
      </w:pPr>
      <w:r>
        <w:rPr/>
        <w:t xml:space="preserve">需求优先级为优先1、一般2、可选3；需求状态为接受A、延后D、拒绝R、废除C、待议U。本文功能要求均为A，重清清盘扩展为D；接受表示目标已采用，不表示实现完成。NUM、CLR、RCL、EXP分别对应老师四条新增要求；BIZ对应保留业务，NFR对应非功能要求。需求提出人：新增四组为课程教师，保留业务及非功能具体口径为课程小组。缺少材料的引用保持标题并说明，不推断不存在的条款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1.6 参考资料</w:t>
      </w:r>
    </w:p>
    <w:p>
      <w:pPr>
        <w:ind w:firstLineChars="200" w:firstLine="420"/>
      </w:pPr>
      <w:r>
        <w:rPr/>
        <w:t xml:space="preserve">直接依据为 系统开发的一些要求.docx 和 模板-需求规格说明书.docx。现有业务依据为项目README、implementation-contract.md、demo-guide.md、acceptance.md、teacher-requirements-gap-analysis.md以及设计草案。改造范围依据为 superpowers/plans/2026-10-13-clearing-requirements-upgrade.md。文件协议见 interfaces/mock-ta-application-file-v1.md。</w:t>
      </w:r>
    </w:p>
    <w:p>
      <w:pPr>
        <w:ind w:firstLineChars="200" w:firstLine="420"/>
      </w:pPr>
      <w:r>
        <w:rPr/>
        <w:t xml:space="preserve">模板引用的《产品性能指标说明》和《需求规格说明书-安全需求指南》未提供，具体条款不适用；本规格5.2和5.7给出本项目采用的要求。已有验收只能支持原版本，不作为新增四组通过证据。</w:t>
      </w:r>
    </w:p>
    <w:p>
      <w:pPr>
        <w:pStyle w:val="1"/>
        <w:keepNext/>
        <w:numPr>
          <w:numId w:val="0"/>
        </w:numPr>
        <w:spacing w:line="240" w:lineRule="auto"/>
      </w:pPr>
      <w:r>
        <w:rPr>
          <w:color w:val="000000"/>
        </w:rPr>
        <w:t xml:space="preserve">2 需求综述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2.1 系统用户范围</w:t>
      </w:r>
    </w:p>
    <w:tbl>
      <w:tblPr>
        <w:tblW w:w="8009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0"/>
        <w:gridCol w:w="3150"/>
        <w:gridCol w:w="3259"/>
      </w:tblGrid>
      <w:tr>
        <w:trPr>
          <w:tblHeader/>
        </w:trPr>
        <w:tc>
          <w:tcPr>
            <w:tcW w:w="160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用户</w:t>
            </w:r>
          </w:p>
        </w:tc>
        <w:tc>
          <w:tcPr>
            <w:tcW w:w="315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职责与权限范围</w:t>
            </w:r>
          </w:p>
        </w:tc>
        <w:tc>
          <w:tcPr>
            <w:tcW w:w="3259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特点与频度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投资者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自己的开户、测评、卡、资金、申请、持仓及偏好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学生演示或学习时使用；不能读取他人资金或后台任务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操作员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产品/行情维护、批次操作和业务查询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按现有角色授权；仅在后端允许的职责内操作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管理员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用户管理、配置、审核、清算、重清、导出、对账及审计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每个业务日或课程演示时使用；敏感动作记录发起人及理由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系统任务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自动到期扫描和后台节点执行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无需浏览器会话；使用持久运行身份和业务时间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维护人员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本地运行、日志、备份恢复与升级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在维护窗口操作；不获得隐含的投资者业务权限</w:t>
            </w:r>
          </w:p>
        </w:tc>
      </w:tr>
    </w:tbl>
    <w:p>
      <w:pPr/>
      <w:r>
        <w:rPr/>
        <w:t xml:space="preserve"/>
      </w:r>
    </w:p>
    <w:p>
      <w:pPr>
        <w:ind w:firstLineChars="200" w:firstLine="420"/>
      </w:pPr>
      <w:r>
        <w:rPr/>
        <w:t xml:space="preserve">具体角色检查由后端完成，页面隐藏菜单不能替代授权；客户跨账户操作需验证同属当前用户。小组成员和组织结构不影响业务权限模型。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2.2 业务流程分析</w:t>
      </w:r>
    </w:p>
    <w:p>
      <w:pPr>
        <w:ind w:firstLineChars="200" w:firstLine="420"/>
      </w:pPr>
      <w:r>
        <w:rPr/>
        <w:t xml:space="preserve">正常申购流程：注册登录 → 开户与风险测评 → 添加模拟卡及充值到该卡交易账户 → 查看基金和预估报价 → 受理原申请并冻结资金 → 取得申请编号 → 导入申请所属日净值 → 到期确认并取得确认编号 → 持仓及流水归属原交易账户。报价为预估，确认才生成成交结果。</w:t>
      </w:r>
    </w:p>
    <w:p>
      <w:pPr>
        <w:ind w:firstLineChars="200" w:firstLine="420"/>
      </w:pPr>
      <w:r>
        <w:rPr/>
        <w:t xml:space="preserve">正常赎回流程：选择交易账户及基金 → 按持仓批次校验/冻结请求份额 → 截止前可撤单释放冻结 → 到期按规则和净值确认 → 产生应付款 → 模拟回款至原账户/受款绑定 → 查看到账或阻断原因。组合赎回按用户明确给出的各账户份额分配，不自动跨卡。</w:t>
      </w:r>
    </w:p>
    <w:p>
      <w:pPr>
        <w:ind w:firstLineChars="200" w:firstLine="420"/>
      </w:pPr>
      <w:r>
        <w:rPr/>
        <w:t xml:space="preserve">认购受理后等待募集成立或失败；成立生成初始份额和相应利息结果，失败退款。定投按计划生成普通申购并保留执行记录；分红按登记日权益产生现金或再投资；货币收益按自然日规则计提/结转并处理退出尾差；转换按允许配对在同一交易账户内从源基金转向目标基金，保存双方TA，不要求同TA。换卡经后台审核，更新未来绑定，旧申请来源不变。清盘结算、现金差额更正和常规撤单沿用各自范围，不能冒充重新清算。</w:t>
      </w:r>
    </w:p>
    <w:p>
      <w:pPr>
        <w:ind w:firstLineChars="200" w:firstLine="420"/>
      </w:pPr>
      <w:r>
        <w:rPr/>
        <w:t xml:space="preserve">固定清算支路：申请归属日 → SEAL_APPLICATIONS封账 → EXPORT_APPLICATIONS导出；交易到期支路：IMPORT_MARKET行情 → CONFIRM确认 → PAY付款 → RECONCILE对账。确认处理日扫描到期申请并采用各申请行情日；ALL仅运行当前可运行节点，尚未到封账时点不阻断其他到期业务。SIP、MONEY保留为独立业务任务。</w:t>
      </w:r>
    </w:p>
    <w:p>
      <w:pPr>
        <w:ind w:firstLineChars="200" w:firstLine="420"/>
      </w:pPr>
      <w:r>
        <w:rPr/>
        <w:t xml:space="preserve">重清分支：提交带理由的行情修订集合 → 定位旧确认与后续依赖 → 固定输入水位并预演差异 → 份额/资金不足或跨清盘则BLOCKED，旧结果保留 → 可行时短暂锁定影响账户资产写入 → 核对版本未漂移 → 同一发布事务追加旧效果冲正和新效果 → 切换当前有效行情/确认 → 对账及通知。无关账户继续实时交易。原申请不重新受理，定投不重复生成。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2.3 功能综述</w:t>
      </w:r>
    </w:p>
    <w:p>
      <w:pPr>
        <w:ind w:firstLineChars="200" w:firstLine="420"/>
      </w:pPr>
      <w:r>
        <w:rPr/>
        <w:t xml:space="preserve">系统边界：投资者与管理员浏览器 → 网站及API → 账户/产品/交易/清算模块 → MySQL及本地文件。模拟银行、模拟TA处于系统内部；外部真实资金和TA传输不适用。</w:t>
      </w:r>
    </w:p>
    <w:p>
      <w:pPr>
        <w:spacing w:before="0" w:after="0"/>
      </w:pPr>
      <w:r>
        <w:rPr/>
        <w:t xml:space="preserve">投资者浏览器 ─┐</w:t>
      </w:r>
    </w:p>
    <w:p>
      <w:pPr>
        <w:spacing w:before="0" w:after="0"/>
      </w:pPr>
      <w:r>
        <w:rPr/>
        <w:t xml:space="preserve">              ├→ Vue网站 → HTTP JSON API → 账户 产品 交易 清算 → MySQL</w:t>
      </w:r>
    </w:p>
    <w:p>
      <w:pPr>
        <w:spacing w:before="0" w:after="0"/>
      </w:pPr>
      <w:r>
        <w:rPr/>
        <w:t xml:space="preserve">管理员浏览器 ─┘                                    └→ 模拟TA申请文件</w:t>
      </w:r>
    </w:p>
    <w:p>
      <w:pPr>
        <w:spacing w:before="0" w:after="0"/>
      </w:pPr>
      <w:r>
        <w:rPr/>
        <w:t xml:space="preserve">                           系统内模拟银行与TA，不连接外部真实资金</w:t>
      </w:r>
    </w:p>
    <w:tbl>
      <w:tblPr>
        <w:tblW w:w="8009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0"/>
        <w:gridCol w:w="3150"/>
        <w:gridCol w:w="3259"/>
      </w:tblGrid>
      <w:tr>
        <w:trPr>
          <w:tblHeader/>
        </w:trPr>
        <w:tc>
          <w:tcPr>
            <w:tcW w:w="160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模块</w:t>
            </w:r>
          </w:p>
        </w:tc>
        <w:tc>
          <w:tcPr>
            <w:tcW w:w="315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主要功能</w:t>
            </w:r>
          </w:p>
        </w:tc>
        <w:tc>
          <w:tcPr>
            <w:tcW w:w="3259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范围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身份与账户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登录、开户、测评、多卡、充值提现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保留BIZ-001至BIZ-002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产品与普通交易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产品报价、收藏、申购赎回、撤单、组合赎回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保留BIZ-003至BIZ-004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扩展业务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认购、定投、分红、货币收益、转换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保留BIZ-005至BIZ-007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后台与审计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换卡、清盘、现金更正、管理与通知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保留BIZ-008至BIZ-009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业务编号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统一申请编号和各轮确认编号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新增NUM-001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清算执行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固定节点、异步持久任务、资源配额及恢复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新增CLR-001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重新清算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行情版本、预演、冲正、依赖重放及对账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新增RCL-001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申请文件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截止封账、源TA分组、分页落盘及重导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新增EXP-001</w:t>
            </w:r>
          </w:p>
        </w:tc>
      </w:tr>
    </w:tbl>
    <w:p>
      <w:pPr/>
      <w:r>
        <w:rPr/>
        <w:t xml:space="preserve"/>
      </w:r>
    </w:p>
    <w:p>
      <w:pPr>
        <w:pStyle w:val="1"/>
        <w:keepNext/>
        <w:numPr>
          <w:numId w:val="0"/>
        </w:numPr>
        <w:spacing w:line="240" w:lineRule="auto"/>
      </w:pPr>
      <w:r>
        <w:rPr>
          <w:color w:val="000000"/>
        </w:rPr>
        <w:t xml:space="preserve">3 功能需求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3.1 身份与账户</w:t>
      </w:r>
    </w:p>
    <w:p>
      <w:pPr>
        <w:ind w:firstLineChars="200" w:firstLine="420"/>
      </w:pPr>
      <w:r>
        <w:rPr/>
        <w:t xml:space="preserve">功能概述：用登录身份、风险等级和独立卡账户明确交易权限与资金来源。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3.1.1 登录开户与适当性 BIZ-001</w:t>
      </w:r>
    </w:p>
    <w:p>
      <w:pPr>
        <w:ind w:firstLineChars="200" w:firstLine="420"/>
      </w:pPr>
      <w:r>
        <w:rPr/>
        <w:t xml:space="preserve">状态A，优先级1，提出人课程小组。前置条件为服务可用；注册输入用户名、密码、显示名，登录输入凭据，开户输入开户请求，风险测评输入10项1至5分答案；本人修改密码输入旧/新密码。处理为认证、状态检查、会话建立、密码修改、开户及测评有效期保存；所有写请求校验CSRF。投资者仅操作本人，管理员可按权限启停用户、建立操作员及重置临时密码；重置后注销旧会话并要求修改密码。被禁用、密码错误、参数非法、测评未完成/过期应明确拒绝，不能建立交易资格。</w:t>
      </w:r>
    </w:p>
    <w:p>
      <w:pPr>
        <w:ind w:firstLineChars="200" w:firstLine="420"/>
      </w:pPr>
      <w:r>
        <w:rPr/>
        <w:t xml:space="preserve">输出为用户、角色、开户状态、风险等级/有效期及成功或错误消息。界面参考为现有登录、账户及风险测评页面。验收BIZ-T01：正确与错误登录、注销、CSRF、修改/重置密码及旧会话失效、操作员权限、重复开户、测评有效期及跨用户拒绝；USB Key、登录机构代码与8位密码框示例不适用。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3.1.2 模拟卡账户与资金 BIZ-002</w:t>
      </w:r>
    </w:p>
    <w:p>
      <w:pPr>
        <w:ind w:firstLineChars="200" w:firstLine="420"/>
      </w:pPr>
      <w:r>
        <w:rPr/>
        <w:t xml:space="preserve">状态A，优先级1，提出人课程小组。前置条件为本人已登录及开户；输入银行名称、持卡人、请求键，以及明确交易账户的充值/提现金额、默认卡或启停/解绑操作。处理为创建模拟卡及交易账户、验证归属和卡状态、独立管理可用/冻结余额与TA基金账户、追加资金流水。默认卡只提供选择偏好，不给后续操作隐式跨卡扣款权限。</w:t>
      </w:r>
    </w:p>
    <w:p>
      <w:pPr>
        <w:ind w:firstLineChars="200" w:firstLine="420"/>
      </w:pPr>
      <w:r>
        <w:rPr/>
        <w:t xml:space="preserve">输出为模拟卡号、交易/基金账户、绑定版本、逐账户余额及流水。余额不足、卡禁用、重复请求、未了冻结或受款异常按规则拒绝/等待，重复请求不双扣。界面参考为卡管理、充值提现及资金流水。验收BIZ-T02：双卡资金隔离、提现不足、默认卡切换不改旧来源、幂等及不可越权；资金合计与流水一致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3.2 产品与普通交易</w:t>
      </w:r>
    </w:p>
    <w:p>
      <w:pPr>
        <w:ind w:firstLineChars="200" w:firstLine="420"/>
      </w:pPr>
      <w:r>
        <w:rPr/>
        <w:t xml:space="preserve">功能概述：按产品规则受理申请，区分预估、冻结、确认和付款状态。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3.2.1 产品查询与管理 BIZ-003</w:t>
      </w:r>
    </w:p>
    <w:p>
      <w:pPr>
        <w:ind w:firstLineChars="200" w:firstLine="420"/>
      </w:pPr>
      <w:r>
        <w:rPr/>
        <w:t xml:space="preserve">状态A，优先级1，提出人课程小组。输入基金/份额类别、历史日期、收藏动作；管理员输入代码、名称、类型、管理人、TA、风险、费率、限额、状态和开放开关，以及交易日历、净值或CSV。查询用户可看产品，收藏仅本人；维护需后台授权。处理为展示产品与历史、保存规则版本；净值普通入口不能直接覆盖已发布/使用的行情，错误行情走RCL-001。</w:t>
      </w:r>
    </w:p>
    <w:p>
      <w:pPr>
        <w:ind w:firstLineChars="200" w:firstLine="420"/>
      </w:pPr>
      <w:r>
        <w:rPr/>
        <w:t xml:space="preserve">输出为产品详情、行情、费率和规则状态；非法金额/精度、重复代码、无效日期或禁止覆盖应拒绝，缺行情显示等待原因。界面参考为基金列表/详情、后台产品/行情。验收BIZ-T03：查询与收藏、规则快照、权限、交易日历、缺净值等待及普通覆盖保护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3.2.2 申购赎回与撤单 BIZ-004</w:t>
      </w:r>
    </w:p>
    <w:p>
      <w:pPr>
        <w:ind w:firstLineChars="200" w:firstLine="420"/>
      </w:pPr>
      <w:r>
        <w:rPr/>
        <w:t xml:space="preserve">状态A，优先级1，提出人课程小组。前置条件为开户、有效测评、产品开放、账户/卡及绑定版本有效；输入业务类型、基金、交易账户、卡、绑定版本、申请金额或份额、请求键；组合赎回输入显式账户份额分配。处理为报价预估、风险及限额校验、按截止和日历归属申请、冻结原账户资金或批次份额、到期确认及回款。申请/确认编号遵循NUM-001。撤单仅截止前且未确认申请释放冻结。</w:t>
      </w:r>
    </w:p>
    <w:p>
      <w:pPr>
        <w:ind w:firstLineChars="200" w:firstLine="420"/>
      </w:pPr>
      <w:r>
        <w:rPr/>
        <w:t xml:space="preserve">输出为订单、原来源、状态、日期、净值、费用、份额、应付款及到账流水。非法/不足/重复/绑定版本过期请求明确拒绝或返回原结果，缺净值等待，不自动改用其他卡，已确认订单不得普通撤销。界面参考为交易、订单、持仓与到账页面。验收BIZ-T04：双卡申购和赎回全流程、截止日切、组合分配、冻结与批次、费率/持有期、缺行情、幂等、撤单边界及对账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3.3 扩展业务</w:t>
      </w:r>
    </w:p>
    <w:p>
      <w:pPr>
        <w:ind w:firstLineChars="200" w:firstLine="420"/>
      </w:pPr>
      <w:r>
        <w:rPr/>
        <w:t xml:space="preserve">功能概述：维持原账户和来源快照，将扩展业务的确认、资金和份额纳入统一账务。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3.3.1 认购与定投 BIZ-005</w:t>
      </w:r>
    </w:p>
    <w:p>
      <w:pPr>
        <w:ind w:firstLineChars="200" w:firstLine="420"/>
      </w:pPr>
      <w:r>
        <w:rPr/>
        <w:t xml:space="preserve">状态A，优先级1，提出人课程小组。投资者输入认购基金、原账户/卡/绑定版本、金额和请求键，或定投基金、金额、频率、日、起始日及状态。管理员输入募集成立/失败、结束日、初始净值和利息规则。处理为认购冻结、募集结果形成份额/退款；定投按计划到期生成普通申购，并可暂停/终止。募集处理与定投执行进入CLR-001后台通道，客户受理仍实时执行。</w:t>
      </w:r>
    </w:p>
    <w:p>
      <w:pPr>
        <w:ind w:firstLineChars="200" w:firstLine="420"/>
      </w:pPr>
      <w:r>
        <w:rPr/>
        <w:t xml:space="preserve">输出为认购状态、份额/退款、定投计划和每次执行结果；非募集产品、资金不足、参数非法或不可执行计划记录原因，不跨卡补扣，不重复生成。界面参考为认购、定投与后台募集结果。验收BIZ-T05：成立/失败、利息、暂停恢复、余额不足和同次执行幂等；编号和文件只计定投生成订单一次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3.3.2 分红与货币收益 BIZ-006</w:t>
      </w:r>
    </w:p>
    <w:p>
      <w:pPr>
        <w:ind w:firstLineChars="200" w:firstLine="420"/>
      </w:pPr>
      <w:r>
        <w:rPr/>
        <w:t xml:space="preserve">状态A，优先级1，提出人课程小组。投资者输入分红方式；管理员输入基金、登记/除权/付款日、每份分红，或自然日万份收益和年化收益。处理为按登记权益生成快照、现金分红/再投资、自然日收益、退出结转和尾差；批量执行进入CLR-001。权限区分本人偏好和后台权益维护。</w:t>
      </w:r>
    </w:p>
    <w:p>
      <w:pPr>
        <w:ind w:firstLineChars="200" w:firstLine="420"/>
      </w:pPr>
      <w:r>
        <w:rPr/>
        <w:t xml:space="preserve">输出为权益、分红、收益、份额/付款、账务有效日及执行状态。日期非法、行情缺失、重复执行等应明确拒绝/等待或返回已完成结果；原来源不丢失，尾差不重复计算。界面参考为分红偏好、收益明细及后台权益。验收BIZ-T06：两种分红、跨自然日收益、清仓尾差、重复执行，以及RCL-001重清保留登记日和持有期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3.3.3 基金转换 BIZ-007</w:t>
      </w:r>
    </w:p>
    <w:p>
      <w:pPr>
        <w:ind w:firstLineChars="200" w:firstLine="420"/>
      </w:pPr>
      <w:r>
        <w:rPr/>
        <w:t xml:space="preserve">状态A，优先级1，提出人课程小组。前置条件为允许配对、同一交易账户有可用源份额；输入源/目标基金、账户、请求份额、请求键。处理为冻结源批次、按双方行情及规则确认目标份额和费用，保留源/目标TA与来源卡。不得新增“必须同TA”限制。</w:t>
      </w:r>
    </w:p>
    <w:p>
      <w:pPr>
        <w:ind w:firstLineChars="200" w:firstLine="420"/>
      </w:pPr>
      <w:r>
        <w:rPr/>
        <w:t xml:space="preserve">输出为转换申请、NUM-001编号、确认、分配及资产结果；不支持配对、份额不足或行情未齐时拒绝/等待，重复请求不双转。界面参考为转换及转换记录。验收BIZ-T07：同账户转换、跨TA配对、来源批次/费用、缺行情、重复请求及重清后依赖份额不足的整体阻断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3.4 后台管理与查询</w:t>
      </w:r>
    </w:p>
    <w:p>
      <w:pPr>
        <w:ind w:firstLineChars="200" w:firstLine="420"/>
      </w:pPr>
      <w:r>
        <w:rPr/>
        <w:t xml:space="preserve">功能概述：用审核、对账和审计约束后台资产操作，并给用户提供可理解的结果。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3.4.1 换卡清盘与现金更正 BIZ-008</w:t>
      </w:r>
    </w:p>
    <w:p>
      <w:pPr>
        <w:ind w:firstLineChars="200" w:firstLine="420"/>
      </w:pPr>
      <w:r>
        <w:rPr/>
        <w:t xml:space="preserve">状态A，优先级1，提出人课程小组。投资者输入换卡银行、持卡人和理由；管理员输入审核理由、受款可用状态、终止产品、清盘价格/日期/理由，或原入账/提现流水、差额、理由、请求键。处理为审核绑定版本、模拟付款受款检查、清盘结算、关联原记录追加现金差额。清盘批量执行进入CLR-001；现金更正不覆盖原流水、不替代行情/完整资产重清。</w:t>
      </w:r>
    </w:p>
    <w:p>
      <w:pPr>
        <w:ind w:firstLineChars="200" w:firstLine="420"/>
      </w:pPr>
      <w:r>
        <w:rPr/>
        <w:t xml:space="preserve">输出为审核、受款状态、清盘记录或关联差额流水；未授权、原记录不适用、余额不足、受款阻断和重复请求应明确处理，不改历史来源卡。界面参考为换卡、付款、清盘和现金更正。验收BIZ-T08：审核前后来源、付款阻断恢复、清盘资产、原记录不变及重复差额不生效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3.4.2 资产查询通知与审计 BIZ-009</w:t>
      </w:r>
    </w:p>
    <w:p>
      <w:pPr>
        <w:ind w:firstLineChars="200" w:firstLine="420"/>
      </w:pPr>
      <w:r>
        <w:rPr/>
        <w:t xml:space="preserve">状态A，优先级2，提出人课程小组。输入本人账户筛选、订单/流水下载、消息已读；管理员输入用户状态、公告和后台查询筛选。处理为逐账户持仓与现金、待付款、订单、转换、任务历史、公告、通知和审计查询，管理操作记录行为、对象、理由、操作者和时间。个人CSV只导出本人记录，与EXP-001全平台申请文件分开。</w:t>
      </w:r>
    </w:p>
    <w:p>
      <w:pPr>
        <w:ind w:firstLineChars="200" w:firstLine="420"/>
      </w:pPr>
      <w:r>
        <w:rPr/>
        <w:t xml:space="preserve">输出为查询结果、CSV、通知、审计与对账问题；越权拒绝、空记录显示空状态、请求失败可定位请求ID，不能以当前生效投影隐藏旧确认/冲正历史。界面参考为资产、记录、通知和后台总览。验收BIZ-T09：本人/他人授权边界、个人CSV、公告/已读、管理员查询、审计完整性及资产汇总一致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3.5 新开发要求</w:t>
      </w:r>
    </w:p>
    <w:p>
      <w:pPr>
        <w:ind w:firstLineChars="200" w:firstLine="420"/>
      </w:pPr>
      <w:r>
        <w:rPr/>
        <w:t xml:space="preserve">功能概述：四条老师要求分别形成一个优先级1的接受需求，并与固定节点和可验证结果关联。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3.5.1 统一申请与确认编号 NUM-001</w:t>
      </w:r>
    </w:p>
    <w:p>
      <w:pPr>
        <w:ind w:firstLineChars="200" w:firstLine="420"/>
      </w:pPr>
      <w:r>
        <w:rPr/>
        <w:t xml:space="preserve">需求描述：所有成功受理交易申请及每轮成功确认各有业务编号。状态A，优先级1，提出人课程教师，对应原要求第1条。</w:t>
      </w:r>
    </w:p>
    <w:p>
      <w:pPr>
        <w:ind w:firstLineChars="200" w:firstLine="420"/>
      </w:pPr>
      <w:r>
        <w:rPr/>
        <w:t xml:space="preserve">前置条件：交易受理/确认满足既有业务校验，编号日期为开放日。输入为编号类别APPLICATION或CONFIRMATION、业务日期、来源类型/ID和清算轮次；调用由受理服务或后台确认服务完成，不开放让投资者指定号码。处理在事务内使用两套每日全平台序列，格式为8位日期加6位序列，从000001开始。同类跨订单/转换和客户唯一；两类允许同文本但业务类别必填。定投只使用生成订单的一次申请编号，重试返回原号，等待和未成功确认不产生有效确认号。超过999999需明确拒绝，不能截断或回绕。</w:t>
      </w:r>
    </w:p>
    <w:p>
      <w:pPr>
        <w:ind w:firstLineChars="200" w:firstLine="420"/>
      </w:pPr>
      <w:r>
        <w:rPr/>
        <w:t xml:space="preserve">输出为申请编号、确认编号及其类别/日期、来源、轮次和当前确认引用；旧orderNo和主键保留。重清新确认取得新号并关联旧确认，原有效日不变。权限随原申请/确认，查询仅本人或后台授权。非法类别、非工作日、溢出和冲突必须拒绝并回滚，历史缺号如实标记。</w:t>
      </w:r>
    </w:p>
    <w:p>
      <w:pPr>
        <w:ind w:firstLineChars="200" w:firstLine="420"/>
      </w:pPr>
      <w:r>
        <w:rPr/>
        <w:t xml:space="preserve">界面参考：投资者订单/转换详情、后台申请/确认及EXP-001文件。验收NUM-T01：同日双卡、多客户、订单/转换并发唯一且14位补零，跨日重置。NUM-T02：重复请求和等待不增加有效号码，失败事务无孤立有效编号。NUM-T03：非工作日顺延、溢出保护、历史可读、重清新号与原有效日区分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3.5.2 持久化清算与资源隔离 CLR-001</w:t>
      </w:r>
    </w:p>
    <w:p>
      <w:pPr>
        <w:ind w:firstLineChars="200" w:firstLine="420"/>
      </w:pPr>
      <w:r>
        <w:rPr/>
        <w:t xml:space="preserve">需求描述：清算后台执行的资源占用受限，申购赎回实时路径达到5.2的并行性能门槛。状态A，优先级1，提出人课程教师，对应原要求第2条。</w:t>
      </w:r>
    </w:p>
    <w:p>
      <w:pPr>
        <w:ind w:firstLineChars="200" w:firstLine="420"/>
      </w:pPr>
      <w:r>
        <w:rPr/>
        <w:t xml:space="preserve">输入为任务类型、业务日期、参数、发起人及请求幂等键；权限为后台授权角色或系统任务，提交与正式执行均校验。处理先持久记录再入有界执行通道，初始建议1工作线程、队列4，实时池8连接、清算池2连接，同库且共用正确路由事务管理器。入事务前选路由、事务内不切换、退出清理身份/时钟/路由。行情改按产品及行情日短事务；候选按稳定游标每页200条，不用会随状态变化漏单的OFFSET。</w:t>
      </w:r>
    </w:p>
    <w:p>
      <w:pPr>
        <w:ind w:firstLineChars="200" w:firstLine="420"/>
      </w:pPr>
      <w:r>
        <w:rPr/>
        <w:t xml:space="preserve">固定节点为封账、导出、行情、确认、付款、对账。手动与自动任务、募集结果、分红和清盘批次都进入同一通道；不能保留同步旁路。输出为202受理、runId、节点、进度、成功/等待/失败数、业务时间、真实时间、原因和审计。状态为QUEUED、RUNNING、WAITING、COMPLETED、NO_WORK、FAILED、INTERRUPTED、REJECTED；重清预演另有BLOCKED。</w:t>
      </w:r>
    </w:p>
    <w:p>
      <w:pPr>
        <w:ind w:firstLineChars="200" w:firstLine="420"/>
      </w:pPr>
      <w:r>
        <w:rPr/>
        <w:t xml:space="preserve">请求键永久幂等；活动日/类型/范围只在运行期间占用，终态释放，新键可再次扫描当日新业务，旧键仍返回原运行。队列满返回429并记录拒绝，不能积压成无界队列。重启恢复持久任务，已提交账务不重复。未查明结果的中断任务先恢复/核对，不能提前放行相同范围。节点异常保留原因并可查询/恢复；等待不误标完成，运行中0计数不误标无工作。</w:t>
      </w:r>
    </w:p>
    <w:p>
      <w:pPr>
        <w:ind w:firstLineChars="200" w:firstLine="420"/>
      </w:pPr>
      <w:r>
        <w:rPr/>
        <w:t xml:space="preserve">界面参考：后台任务列表/详情、节点进度；用户可离开页面后继续查询。验收CLR-T01：手动/自动碰撞、队列满、旧键重试、新键再次扫描和重启恢复。CLR-T02：后台失败完整回滚且不占实时连接配额，线程复用不泄漏上下文，多页无漏项。CLR-T03：同一基金无关账户在清算/导出并行下满足NFR-T02，保留耗时与资源报告；两池不能证明共享数据库绝对零影响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3.5.3 错误行情重新清算 RCL-001</w:t>
      </w:r>
    </w:p>
    <w:p>
      <w:pPr>
        <w:ind w:firstLineChars="200" w:firstLine="420"/>
      </w:pPr>
      <w:r>
        <w:rPr/>
        <w:t xml:space="preserve">需求描述：已确认甚至已模拟支付后，重新导入正确行情，撤回旧确认下游资产影响并按新净值重算。状态A，优先级1，提出人课程教师，对应原要求第3条。</w:t>
      </w:r>
    </w:p>
    <w:p>
      <w:pPr>
        <w:ind w:firstLineChars="200" w:firstLine="420"/>
      </w:pPr>
      <w:r>
        <w:rPr/>
        <w:t xml:space="preserve">前置条件：需要更正的完整可重放历史可用，普通净值覆盖仍受保护。输入为一次修订集合（基金、行情日、新净值）、理由、请求键、预演版本及处理工作日；权限为有重清权限的管理员，普通投资者不能修订。候选修订保存为不可变版本，不立即改变当前资产；多行导入作为整个集合预演，不能漏行。</w:t>
      </w:r>
    </w:p>
    <w:p>
      <w:pPr>
        <w:ind w:firstLineChars="200" w:firstLine="420"/>
      </w:pPr>
      <w:r>
        <w:rPr/>
        <w:t xml:space="preserve">处理定位受影响确认、付款及截至冻结水位的后续申赎、转换、分红、收益依赖，按资产操作序号和操作内顺序重放原事实。不以跨表自增ID/相同模拟时钟猜因果，不重新受理申请或生成定投。原卡、账户、金额/份额、TA、费率、风险、有效日及持有起点保持。原充值/提现保留为不可重算法事实。</w:t>
      </w:r>
    </w:p>
    <w:p>
      <w:pPr>
        <w:ind w:firstLineChars="200" w:firstLine="420"/>
      </w:pPr>
      <w:r>
        <w:rPr/>
        <w:t xml:space="preserve">预演输出受影响账户、差额、旧/新净值、现金/份额/冻结/费用/付款/尾差变化和阻断原因。原请求份额不足、支付款已提现而无法回收、跨越已完成清盘、缺完整历史或版本漂移时整体阻断范围，保留旧有效结果和候选集合。禁止自动缩单、透支、跨卡回收或只完成部分账户。</w:t>
      </w:r>
    </w:p>
    <w:p>
      <w:pPr>
        <w:ind w:firstLineChars="200" w:firstLine="420"/>
      </w:pPr>
      <w:r>
        <w:rPr/>
        <w:t xml:space="preserve">可行发布时给影响账户资产写门禁，短事务锁定并核对输入版本，在同一范围原子追加“旧流水＋同原有效日反向冲正＋新流水”，切换有效行情和确认引用。旧确认/批次失效仅影响投影，不能从全流水加总排除原流水而保留冲正。新确认有独立编号及前一确认关联，旧确认保留REVERSED记录。发布后对账：可用/冻结现金、份额、成本、有效确认、付款及尾差均一致；无关账户保持实时受理。</w:t>
      </w:r>
    </w:p>
    <w:p>
      <w:pPr>
        <w:ind w:firstLineChars="200" w:firstLine="420"/>
      </w:pPr>
      <w:r>
        <w:rPr/>
        <w:t xml:space="preserve">输出为修订版本、预演ID、运行/节点状态、确认历史、有效资产和对账结果。失败/中断可查询并恢复，未提交结果不生效，已提交结果重试不重复；门禁的范围、理由和恢复状态可见。界面参考为后台行情修订/预演/执行/历史、投资者当前结果及确认历史。</w:t>
      </w:r>
    </w:p>
    <w:p>
      <w:pPr>
        <w:ind w:firstLineChars="200" w:firstLine="420"/>
      </w:pPr>
      <w:r>
        <w:rPr/>
        <w:t xml:space="preserve">验收RCL-T01：双卡申购/赎回已经确认及支付后修正净值，比较现金、冻结、份额、成本、费用、付款和流水；无费示例1000元从净值1.000000改1.250000应从1000份改800份。RCL-T02：后续赎回/跨TA转换/分红/货币收益按原有效日重放，不重复权益或尾差。RCL-T03：已提现不可回收、原份额不足、清盘边界、历史缺失和版本漂移整体阻断，旧结果保持。RCL-T04：多行修订全覆盖，失败注入/重启/重复请求不半生效、不双冲正，门禁释放且无关账户满足实时门槛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3.5.4 当日申请封账与导出 EXP-001</w:t>
      </w:r>
    </w:p>
    <w:p>
      <w:pPr>
        <w:ind w:firstLineChars="200" w:firstLine="420"/>
      </w:pPr>
      <w:r>
        <w:rPr/>
        <w:t xml:space="preserve">需求描述：每工作日约定时点前输出全平台当日有效交易申请，并考虑大规模生成性能。状态A，优先级1，提出人课程教师，对应原要求第4条；具体文件协议是课程建议。</w:t>
      </w:r>
    </w:p>
    <w:p>
      <w:pPr>
        <w:ind w:firstLineChars="200" w:firstLine="420"/>
      </w:pPr>
      <w:r>
        <w:rPr/>
        <w:t xml:space="preserve">输入为申请工作日、源TA范围、协议/快照版本、时点及请求键；管理员或系统任务有权封账/导出，下载仍需后台授权。处理在产品最晚截止后固定封账准入边界，收齐截止前已提交申请与撤单，处理截止前尚未提交事务，截点后申请顺延。包含申购、赎回、认购、转换及定投生成订单，截止前已撤销排除并计数，已确认申请可历史重导。来源与金额/份额从原申请快照读取，不从可变当前卡/确认结果读取。</w:t>
      </w:r>
    </w:p>
    <w:p>
      <w:pPr>
        <w:ind w:firstLineChars="200" w:firstLine="420"/>
      </w:pPr>
      <w:r>
        <w:rPr/>
        <w:t xml:space="preserve">按源TA和申请编号游标分页落盘，不拼接完整文件到内存；遵循17字段顺序、UTF-8无BOM、CRLF、文本编号和CSV转义。申购/认购仅原金额，申请份额为空；赎回/转换仅原请求份额。转换保留双方TA，空TA文件仅表头。临时文件核对行数、分业务汇总和SHA-256后原子发布；同快照重导字节相同，新快照另留版本。</w:t>
      </w:r>
    </w:p>
    <w:p>
      <w:pPr>
        <w:ind w:firstLineChars="200" w:firstLine="420"/>
      </w:pPr>
      <w:r>
        <w:rPr/>
        <w:t xml:space="preserve">输出为导出ID、状态、快照边界、文件、行数、排除数、金额/份额汇总、SHA-256、完成时间和失败原因。未到封账时间为等待，非法日/权限不足/历史字段缺失/磁盘故障明确失败；不发布半文件、不静默遗漏历史。界面参考为后台封账/导出列表、进度、下载/重导；实际接口与协议分别引用第4章和独立协议。</w:t>
      </w:r>
    </w:p>
    <w:p>
      <w:pPr>
        <w:ind w:firstLineChars="200" w:firstLine="420"/>
      </w:pPr>
      <w:r>
        <w:rPr/>
        <w:t xml:space="preserve">验收EXP-T01至EXP-T04详见模拟TA协议：四业务双卡/定投及源TA完整性，确认后原申请不变，截止事务竞态/换卡/撤单/重导，格式/空文件/失败保护，1万和10万行流式性能。不得用个人历史订单CSV代替。</w:t>
      </w:r>
    </w:p>
    <w:p>
      <w:pPr>
        <w:pStyle w:val="1"/>
        <w:keepNext/>
        <w:numPr>
          <w:numId w:val="0"/>
        </w:numPr>
        <w:spacing w:line="240" w:lineRule="auto"/>
      </w:pPr>
      <w:r>
        <w:rPr>
          <w:color w:val="000000"/>
        </w:rPr>
        <w:t xml:space="preserve">4 接口需求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4.1 网站和后端内部接口</w:t>
      </w:r>
    </w:p>
    <w:p>
      <w:pPr>
        <w:ind w:firstLineChars="200" w:firstLine="420"/>
      </w:pPr>
      <w:r>
        <w:rPr/>
        <w:t xml:space="preserve">网站经HTTP/JSON向后端请求，成功直接返回对象/数组，金融数值为十进制字符串，字段camelCase；错误返回code、message、requestId。写操作传CSRF令牌，会话权限和对象归属由后端检查。现有登录、账户、产品、普通交易、扩展及管理API以 implementation-contract.md 与实际控制器为准，本规格不复制可能滞后的路径清单。</w:t>
      </w:r>
    </w:p>
    <w:p>
      <w:pPr>
        <w:ind w:firstLineChars="200" w:firstLine="420"/>
      </w:pPr>
      <w:r>
        <w:rPr/>
        <w:t xml:space="preserve">新增异步提交输出202及runId，查询输出状态、节点、进度、统计、各类时间及原因；队列满429。任务执行不能使用已结束HTTP请求的会话。重清预演输入修订集合及理由，执行引用预演/版本；查询须保留旧、新确认与当前生效状态。旧同步批次调用方须随异步返回更新，投资者受理结果仍同步返回，不把浏览器等待当作清算事务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4.2 行情和申请文件接口</w:t>
      </w:r>
    </w:p>
    <w:p>
      <w:pPr>
        <w:ind w:firstLineChars="200" w:firstLine="420"/>
      </w:pPr>
      <w:r>
        <w:rPr/>
        <w:t xml:space="preserve">行情表单或CSV导入的逻辑内容为基金份额类别、行情日和净值；普通首次发布与RCL-001修订集合分开。修订导入需理由、来源及请求键，保存输入版本，验证整集合并给逐行错误；未通过不能部分切换资产。</w:t>
      </w:r>
    </w:p>
    <w:p>
      <w:pPr>
        <w:ind w:firstLineChars="200" w:firstLine="420"/>
      </w:pPr>
      <w:r>
        <w:rPr/>
        <w:t xml:space="preserve">TA申请输出从系统到本地文件/管理员下载，使用 interfaces/mock-ta-application-file-v1.md 的固定17字段、编码、命名、空文件及快照规则。个人订单/资金CSV是独立用户下载接口，不能作为TA文件。真实银行、真实TA、SFTP传输及外部回执不适用，后续如需增加先另定协议和验收。</w:t>
      </w:r>
    </w:p>
    <w:p>
      <w:pPr>
        <w:pStyle w:val="1"/>
        <w:keepNext/>
        <w:numPr>
          <w:numId w:val="0"/>
        </w:numPr>
        <w:spacing w:line="240" w:lineRule="auto"/>
      </w:pPr>
      <w:r>
        <w:rPr>
          <w:color w:val="000000"/>
        </w:rPr>
        <w:t xml:space="preserve">5 非功能性需求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5.1 运行环境需求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5.1.1 设备需求</w:t>
      </w:r>
    </w:p>
    <w:p>
      <w:pPr>
        <w:ind w:firstLineChars="200" w:firstLine="420"/>
      </w:pPr>
      <w:r>
        <w:rPr/>
        <w:t xml:space="preserve">NFR-001，状态A，优先级2。课程参考环境为4核、8GB内存、SSD；Java堆512MiB。该配置是性能验收建议基线，不是已测得最低配置；实际CPU、内存、磁盘、操作系统版本及可用空间随报告记录。浏览器、后端、数据库和文件可在同一可信演示电脑运行，数据持久目录与备份保留。USB Key及专用银行/TA硬件不适用。</w:t>
      </w:r>
    </w:p>
    <w:p>
      <w:pPr>
        <w:ind w:firstLineChars="200" w:firstLine="420"/>
      </w:pPr>
      <w:r>
        <w:rPr/>
        <w:t xml:space="preserve">输入为机器配置和版本，权限为维护人员；输出为运行/测试环境记录。资源不足或端口冲突需清楚提示，不能擅自结束无关进程。验收NFR-T01：记录环境并完成构建、健康检查、持久化重启及备份恢复验证，首次运行依赖获取需网络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5.1.2 支持软件需求</w:t>
      </w:r>
    </w:p>
    <w:tbl>
      <w:tblPr>
        <w:tblW w:w="8009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0"/>
        <w:gridCol w:w="3150"/>
        <w:gridCol w:w="3259"/>
      </w:tblGrid>
      <w:tr>
        <w:trPr>
          <w:tblHeader/>
        </w:trPr>
        <w:tc>
          <w:tcPr>
            <w:tcW w:w="160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用途</w:t>
            </w:r>
          </w:p>
        </w:tc>
        <w:tc>
          <w:tcPr>
            <w:tcW w:w="315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软件与版本</w:t>
            </w:r>
          </w:p>
        </w:tc>
        <w:tc>
          <w:tcPr>
            <w:tcW w:w="3259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供应方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课程本地系统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Windows，实际版本在验收记录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Microsoft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后端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Java 21、Spring Boot 4.1.1、Spring JDBC、Hikari、Flyway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JDK发行方以实际环境为准；Spring及相关项目维护方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数据库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MySQL 8.4，项目便携运行版本以运行说明为准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Oracle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前端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Vue 3、TypeScript、Vite 6、Node.js 22+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对应开源项目维护方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构建工具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Maven 3.9+，前端依赖锁文件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Apache及前端项目维护方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测试工具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后端测试、Vitest、Playwright及独立fund_sim_test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对应项目维护方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可选部署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Linux、Docker Engine、Compose、Nginx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对应发行方/项目维护方；需目标主机另验收</w:t>
            </w:r>
          </w:p>
        </w:tc>
      </w:tr>
    </w:tbl>
    <w:p>
      <w:pPr/>
      <w:r>
        <w:rPr/>
        <w:t xml:space="preserve"/>
      </w:r>
    </w:p>
    <w:p>
      <w:pPr>
        <w:ind w:firstLineChars="200" w:firstLine="420"/>
      </w:pPr>
      <w:r>
        <w:rPr/>
        <w:t xml:space="preserve">用户基础软件为桌面Chrome/Edge；浏览器兼容验收记录实际稳定版本，不声称所有版本已通过。开发平台沿用本项目，不要求另购特定IDE。生产HTTPS配置需目标部署验证，本机结果不能证明Linux部署通过。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5.2 性能需求</w:t>
      </w:r>
    </w:p>
    <w:p>
      <w:pPr>
        <w:ind w:firstLineChars="200" w:firstLine="420"/>
      </w:pPr>
      <w:r>
        <w:rPr/>
        <w:t xml:space="preserve">《产品性能指标说明》具体条款不适用（材料未提供）。NFR-002，状态A，优先级1：以下是已采用的课程验收建议，首次实测需确认可达性，未测或未通过不能写成达标。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5.2.1 容量需求</w:t>
      </w:r>
    </w:p>
    <w:p>
      <w:pPr>
        <w:ind w:firstLineChars="200" w:firstLine="420"/>
      </w:pPr>
      <w:r>
        <w:rPr/>
        <w:t xml:space="preserve">常规数据为1000客户、每人2账户、20基金、1万历史申请、2000待确认。10万行申请文件为专项导出规模；重清范围以最多2000笔受影响确认为课程基线，整个影响范围一次发布，更大范围先评估发布窗口，不偷偷分段半生效。输入为独立测试数据；输出包括实际记录数及完整性对账，不能在演示库生成压测数据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5.2.2 并发及时间响应需求</w:t>
      </w:r>
    </w:p>
    <w:tbl>
      <w:tblPr>
        <w:tblW w:w="8009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0"/>
        <w:gridCol w:w="3150"/>
        <w:gridCol w:w="3259"/>
      </w:tblGrid>
      <w:tr>
        <w:trPr>
          <w:tblHeader/>
        </w:trPr>
        <w:tc>
          <w:tcPr>
            <w:tcW w:w="160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场景</w:t>
            </w:r>
          </w:p>
        </w:tc>
        <w:tc>
          <w:tcPr>
            <w:tcW w:w="315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建议准出指标</w:t>
            </w:r>
          </w:p>
        </w:tc>
        <w:tc>
          <w:tcPr>
            <w:tcW w:w="3259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验收方法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实时申购赎回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20会话，总5请求/秒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预热2分钟，测10分钟，每组3次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有效请求延迟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P95不超过1秒；并行P95不超过max（基线P95×1.2，基线P95＋50ms）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同环境比较无批次、清算并行、导出并行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正确性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技术错误和重复扣款为0，无漏单/负资产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结合请求与流水/资产对账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正常清算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2000笔确认不超过3分钟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记录等待/失败原因和实际处理量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文件生成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1万行不超过10秒，10万行不超过60秒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分开记录快照和落盘耗时、各阶段堆峰值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内存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批次增量堆不超过64MiB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固定堆和资源配额，不能只看最终文件大小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重清并行</w:t>
            </w:r>
          </w:p>
        </w:tc>
        <w:tc>
          <w:tcPr>
            <w:tcW w:w="31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影响账户短暂门禁可查；无关账户仍达到实时指标</w:t>
            </w:r>
          </w:p>
        </w:tc>
        <w:tc>
          <w:tcPr>
            <w:tcW w:w="32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同一基金不同账户并行验证</w:t>
            </w:r>
          </w:p>
        </w:tc>
      </w:tr>
    </w:tbl>
    <w:p>
      <w:pPr/>
      <w:r>
        <w:rPr/>
        <w:t xml:space="preserve"/>
      </w:r>
    </w:p>
    <w:p>
      <w:pPr>
        <w:ind w:firstLineChars="200" w:firstLine="420"/>
      </w:pPr>
      <w:r>
        <w:rPr/>
        <w:t xml:space="preserve">NFR-T02：固定软硬件、版本、堆、连接配额和数据脚本，三种场景各测3次并保留P95、吞吐、错误、内存和对账证据。共享数据库CPU/磁盘仍会竞争，“不影响性能”以门槛内实测证明，不承诺绝对零影响。失败或达不到时先记录瓶颈，改变建议值需更新规格并说明原因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5.2.3 精度需求</w:t>
      </w:r>
    </w:p>
    <w:p>
      <w:pPr>
        <w:ind w:firstLineChars="200" w:firstLine="420"/>
      </w:pPr>
      <w:r>
        <w:rPr/>
        <w:t xml:space="preserve">NFR-003，状态A，优先级1。金额2位、份额4位、净值6位、费率8位；后端金融计算使用BigDecimal及既定HALF_UP，不能使用二进制浮点。输入按产品限额/精度校验，输出和文件以定长小数字符串传输，中间计算保持BigDecimal并按产品规则在规定步骤舍入。费用及净额、转换目标份额、分红与货币收益沿用现有规则快照，不虚构统一新费率。</w:t>
      </w:r>
    </w:p>
    <w:p>
      <w:pPr>
        <w:ind w:firstLineChars="200" w:firstLine="420"/>
      </w:pPr>
      <w:r>
        <w:rPr/>
        <w:t xml:space="preserve">金额/份额汇总按已舍入明细对账，尾差按既有规则单独记录；重清须重算并验证尾差而不重复追加。权限随对应业务，非法精度拒绝。验收NFR-T03：边界小数、最小金额/份额、费率、舍入与尾差、CSV/JSON文本往返，以及原/冲正/新流水加总一致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5.3 扩展性需求</w:t>
      </w:r>
    </w:p>
    <w:p>
      <w:pPr>
        <w:ind w:firstLineChars="200" w:firstLine="420"/>
      </w:pPr>
      <w:r>
        <w:rPr/>
        <w:t xml:space="preserve">NFR-004，状态A，优先级2。通过既有模块边界、产品规则版本和追加迁移支持有限规模增长；新增编号、轮次和文件协议不能破坏历史UUID/来源关联。固定清算节点，不引入微服务、Redis、消息队列、分库分表或通用可编程工作流。更大企业规模、真实TA协议及已完成清盘重放为另行评估范围。</w:t>
      </w:r>
    </w:p>
    <w:p>
      <w:pPr>
        <w:ind w:firstLineChars="200" w:firstLine="420"/>
      </w:pPr>
      <w:r>
        <w:rPr/>
        <w:t xml:space="preserve">输入为升级前资料与迁移，维护人员执行；输出为兼容查询及资产基线。无法重建历史不能猜造，缺失字段明确提示或阻断。验收NFR-T04：备份后在独立库升级，核对双卡资产/流水/旧订单可读和新申请正常，V1至V13保持不变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5.4 可靠性需求</w:t>
      </w:r>
    </w:p>
    <w:p>
      <w:pPr>
        <w:ind w:firstLineChars="200" w:firstLine="420"/>
      </w:pPr>
      <w:r>
        <w:rPr/>
        <w:t xml:space="preserve">NFR-005，状态A，优先级1。采用可重启恢复的单机课程容错级别；镜像接管、多物理数据中心容错不适用。账户写入与账务使用事务和幂等，后台任务/节点持久化，进程重启可识别中断并恢复未完成工作；已提交效果不重复。原子发布的重清和导出不能暴露半结果。</w:t>
      </w:r>
    </w:p>
    <w:p>
      <w:pPr>
        <w:ind w:firstLineChars="200" w:firstLine="420"/>
      </w:pPr>
      <w:r>
        <w:rPr/>
        <w:t xml:space="preserve">维护人员在升级前、课程演示前及重要数据操作后备份，记录时间和位置，并保留最近可验证恢复点；不擅自自动删除备份。监控提供健康检查、任务失败/中断状态和日志请求ID；告警采用后台可见错误及操作员查询，外部短信/邮件告警不适用。恢复时间、备份间隔造成的数据损失以实际恢复演练报告测量并定稿，当前不承诺未验证RTO/RPO数值。</w:t>
      </w:r>
    </w:p>
    <w:p>
      <w:pPr>
        <w:ind w:firstLineChars="200" w:firstLine="420"/>
      </w:pPr>
      <w:r>
        <w:rPr/>
        <w:t xml:space="preserve">输入为故障和备份，权限为维护/后台角色；输出为恢复状态和对账记录。验收NFR-T05：事务失败、批次中断、重启、重复请求、文件半写及独立库备份恢复，确保结果完整且旧历史保留。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5.5 通用界面需求</w:t>
      </w:r>
    </w:p>
    <w:p>
      <w:pPr>
        <w:ind w:firstLineChars="200" w:firstLine="420"/>
      </w:pPr>
      <w:r>
        <w:rPr/>
        <w:t xml:space="preserve">NFR-006，状态A，优先级2。投资者与后台保持现有统一字体、间距、表单和状态规范；表格展示业务编号、来源账户/卡、申请/行情/处理/有效日及真实时间，金额/份额含单位。加载、空、错误、成功、处理中、等待和阻断状态清楚区分，只显示非零处理数量；排队/运行不能因暂时0条显示无工作。</w:t>
      </w:r>
    </w:p>
    <w:p>
      <w:pPr>
        <w:ind w:firstLineChars="200" w:firstLine="420"/>
      </w:pPr>
      <w:r>
        <w:rPr/>
        <w:t xml:space="preserve">输入为用户操作和异步进度，权限跟随接口；输出为可读状态和理由。提交防重复，长任务返回任务ID，允许离开后继续查询。取消只用于业务明确允许的截止前撤单；已发布资产任务不提供无定义的中途取消。界面参考为现有页面加后台节点/预演/导出详情。验收NFR-T06：桌面Chrome/Edge、双卡来源、精度显示、加载/空/错误、离开再查、重复点击及长任务状态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5.6 故障处理需求</w:t>
      </w:r>
    </w:p>
    <w:p>
      <w:pPr>
        <w:ind w:firstLineChars="200" w:firstLine="420"/>
      </w:pPr>
      <w:r>
        <w:rPr/>
        <w:t xml:space="preserve">NFR-007，状态A，优先级1。输入为下列故障，后端/维护角色按范围处理，输出为明确状态、原因、请求/任务ID和可审计恢复结果。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5.6.1 硬件故障</w:t>
      </w:r>
    </w:p>
    <w:p>
      <w:pPr>
        <w:ind w:firstLineChars="200" w:firstLine="420"/>
      </w:pPr>
      <w:r>
        <w:rPr/>
        <w:t xml:space="preserve">通讯故障：页面保留可重新查询的业务结果，不据超时盲目重新扣款；重试原请求键。应用服务器硬件故障：恢复后查询持久任务及事务结果，核对前不能释放不明状态范围。文件服务器硬件故障：本项目没有独立文件服务器，专用设备不适用；本地磁盘故障应标导出失败并保护旧完成文件。数据服务器硬件故障：停止新的资产写入，维护人员按备份恢复并对账，不自动重建空库覆盖原数据。</w:t>
      </w:r>
    </w:p>
    <w:p>
      <w:pPr>
        <w:pStyle w:val="3"/>
        <w:keepNext/>
        <w:numPr>
          <w:numId w:val="0"/>
        </w:numPr>
        <w:rPr>
          <w:b/>
        </w:rPr>
      </w:pPr>
      <w:r>
        <w:rPr>
          <w:color w:val="000000"/>
        </w:rPr>
        <w:t xml:space="preserve">5.6.2 软件故障</w:t>
      </w:r>
    </w:p>
    <w:p>
      <w:pPr>
        <w:ind w:firstLineChars="200" w:firstLine="420"/>
      </w:pPr>
      <w:r>
        <w:rPr/>
        <w:t xml:space="preserve">前台应用程序故障：重新登录/加载后按订单和任务ID查询，后端仍为唯一账务依据。后台服务器故障：保存异常、节点状态和真实时间，事务回滚，恢复只补未完成效果；上下文清理避免影响下一任务。验收NFR-T07：在测试环境模拟连接超时、权限失败、文件写失败、事务异常与重启，核对错误可定位、资产不重复和任务可恢复；真实硬件破坏不作为课程操作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5.7 安全性需求</w:t>
      </w:r>
    </w:p>
    <w:p>
      <w:pPr>
        <w:ind w:firstLineChars="200" w:firstLine="420"/>
      </w:pPr>
      <w:r>
        <w:rPr/>
        <w:t xml:space="preserve">NFR-008，状态A，优先级1。密码哈希保存，登录会话、CSRF、角色及对象归属检查；SQL参数绑定，导入校验，导出下载验证管理员权限。敏感理由和审计记录发起人，任务线程不继承过期会话。演示账号仅本地配置，公开部署管理员密码从环境配置，HTTPS及Secure Cookie需部署环境实测。</w:t>
      </w:r>
    </w:p>
    <w:p>
      <w:pPr>
        <w:ind w:firstLineChars="200" w:firstLine="420"/>
      </w:pPr>
      <w:r>
        <w:rPr/>
        <w:t xml:space="preserve">输入为身份、写请求和下载请求，输出为允许结果或权限/校验错误；普通用户不得读他人资产、修改净值或调用后台重清。教学模拟卡标识不存真实卡号；凭据、运行目录、备份和含账户信息文件不提交或对外发布。《需求规格说明书-安全需求指南》未提供具体内容，不宣称符合未知条款。验收NFR-T08：未登录、跨用户、普通用户后台、CSRF、输入/导入校验、下载权限和审计检查。</w:t>
      </w:r>
    </w:p>
    <w:p>
      <w:pPr>
        <w:pStyle w:val="2"/>
        <w:keepNext/>
        <w:numPr>
          <w:numId w:val="0"/>
        </w:numPr>
        <w:spacing w:line="240" w:lineRule="auto"/>
      </w:pPr>
      <w:r>
        <w:rPr>
          <w:color w:val="000000"/>
        </w:rPr>
        <w:t xml:space="preserve">5.8 其他需求</w:t>
      </w:r>
    </w:p>
    <w:p>
      <w:pPr>
        <w:ind w:firstLineChars="200" w:firstLine="420"/>
      </w:pPr>
      <w:r>
        <w:rPr/>
        <w:t xml:space="preserve">NFR-009，状态A，优先级2。课程来源材料、代码依赖和教学数据按各自许可及课程授权使用，不套用模板商业密级，不对外发布共享来源。文档、接口协议、迁移、日志定位及演示步骤保持可维护；没有真实交易法律/监管合规认证要求。国际化不适用，界面和课程文档为中文；数据交换使用UTF-8。开放性通过本地HTTP/JSON和模拟文件定义，跨产品/大规模部署兼容需另验收。</w:t>
      </w:r>
    </w:p>
    <w:p>
      <w:pPr>
        <w:ind w:firstLineChars="200" w:firstLine="420"/>
      </w:pPr>
      <w:r>
        <w:rPr/>
        <w:t xml:space="preserve">输入为发布/课程交付内容，权限为小组/维护人员；输出为规格、接口、测试证据和演示资料。验收NFR-T09：无凭据/真实卡号/不授权来源公开，文档需求编号及协议一致，不把未知或未测项目写成通过。</w:t>
      </w:r>
    </w:p>
    <w:p>
      <w:pPr>
        <w:pStyle w:val="1"/>
        <w:keepNext/>
        <w:numPr>
          <w:numId w:val="0"/>
        </w:numPr>
        <w:spacing w:line="240" w:lineRule="auto"/>
      </w:pPr>
      <w:r>
        <w:rPr>
          <w:color w:val="000000"/>
        </w:rPr>
        <w:t xml:space="preserve">6 需求追踪与验收状态</w:t>
      </w:r>
    </w:p>
    <w:p>
      <w:pPr>
        <w:ind w:firstLineChars="200" w:firstLine="420"/>
      </w:pPr>
      <w:r>
        <w:rPr/>
        <w:t xml:space="preserve">本章为课程项目补充，老师模板1至5及其所有必填子标题已保留。下面是目标映射，不是完成记录。具体API以实现契约定稿为准，测试结果、版本、时间和环境需在实际验收后填入。</w:t>
      </w:r>
    </w:p>
    <w:tbl>
      <w:tblPr>
        <w:tblW w:w="8009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50"/>
        <w:gridCol w:w="2700"/>
        <w:gridCol w:w="1600"/>
        <w:gridCol w:w="2159"/>
      </w:tblGrid>
      <w:tr>
        <w:trPr>
          <w:tblHeader/>
        </w:trPr>
        <w:tc>
          <w:tcPr>
            <w:tcW w:w="155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需求</w:t>
            </w:r>
          </w:p>
        </w:tc>
        <w:tc>
          <w:tcPr>
            <w:tcW w:w="270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输入权限异常输出位置</w:t>
            </w:r>
          </w:p>
        </w:tc>
        <w:tc>
          <w:tcPr>
            <w:tcW w:w="1600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验收编号</w:t>
            </w:r>
          </w:p>
        </w:tc>
        <w:tc>
          <w:tcPr>
            <w:tcW w:w="2159" w:type="dxa"/>
            <w:vAlign w:val="center"/>
            <w:shd w:fill="DCE6F1" w:val="clear"/>
          </w:tcPr>
          <w:p>
            <w:pPr>
              <w:spacing w:before="0" w:after="40" w:line="276" w:lineRule="auto"/>
            </w:pPr>
            <w:r>
              <w:rPr>
                <w:sz w:val="21"/>
                <w:b/>
              </w:rPr>
              <w:t xml:space="preserve">当前证据状态</w:t>
            </w:r>
          </w:p>
        </w:tc>
      </w:tr>
      <w:tr>
        <w:tc>
          <w:tcPr>
            <w:tcW w:w="15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BIZ-001至BIZ-009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3.1至3.4及现有接口契约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BIZ-T01至BIZ-T09</w:t>
            </w:r>
          </w:p>
        </w:tc>
        <w:tc>
          <w:tcPr>
            <w:tcW w:w="21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既有业务有历史验收，改造后须回归</w:t>
            </w:r>
          </w:p>
        </w:tc>
      </w:tr>
      <w:tr>
        <w:tc>
          <w:tcPr>
            <w:tcW w:w="15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NUM-001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3.5.1，申请/确认查询及文件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NUM-T01至NUM-T03</w:t>
            </w:r>
          </w:p>
        </w:tc>
        <w:tc>
          <w:tcPr>
            <w:tcW w:w="21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新增目标，尚未验收</w:t>
            </w:r>
          </w:p>
        </w:tc>
      </w:tr>
      <w:tr>
        <w:tc>
          <w:tcPr>
            <w:tcW w:w="15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CLR-001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3.5.2，任务提交/查询/节点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CLR-T01至CLR-T03</w:t>
            </w:r>
          </w:p>
        </w:tc>
        <w:tc>
          <w:tcPr>
            <w:tcW w:w="21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新增目标，尚未验收</w:t>
            </w:r>
          </w:p>
        </w:tc>
      </w:tr>
      <w:tr>
        <w:tc>
          <w:tcPr>
            <w:tcW w:w="15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RCL-001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3.5.3，修订/预演/发布/历史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RCL-T01至RCL-T04</w:t>
            </w:r>
          </w:p>
        </w:tc>
        <w:tc>
          <w:tcPr>
            <w:tcW w:w="21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新增目标，尚未验收</w:t>
            </w:r>
          </w:p>
        </w:tc>
      </w:tr>
      <w:tr>
        <w:tc>
          <w:tcPr>
            <w:tcW w:w="15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EXP-001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3.5.4及模拟TA协议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EXP-T01至EXP-T04</w:t>
            </w:r>
          </w:p>
        </w:tc>
        <w:tc>
          <w:tcPr>
            <w:tcW w:w="21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新增目标，尚未验收</w:t>
            </w:r>
          </w:p>
        </w:tc>
      </w:tr>
      <w:tr>
        <w:tc>
          <w:tcPr>
            <w:tcW w:w="155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NFR-001至NFR-009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5.1至5.8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NFR-T01至NFR-T09</w:t>
            </w:r>
          </w:p>
        </w:tc>
        <w:tc>
          <w:tcPr>
            <w:tcW w:w="2159" w:type="dxa"/>
            <w:vAlign w:val="center"/>
          </w:tcPr>
          <w:p>
            <w:pPr>
              <w:spacing w:before="0" w:after="40" w:line="276" w:lineRule="auto"/>
            </w:pPr>
            <w:r>
              <w:rPr>
                <w:sz w:val="21"/>
              </w:rPr>
              <w:t xml:space="preserve">具体性能/恢复/部署结果待实测</w:t>
            </w:r>
          </w:p>
        </w:tc>
      </w:tr>
    </w:tbl>
    <w:p>
      <w:pPr/>
      <w:r>
        <w:rPr/>
        <w:t xml:space="preserve"/>
      </w:r>
    </w:p>
    <w:p>
      <w:pPr>
        <w:ind w:firstLineChars="200" w:firstLine="420"/>
      </w:pPr>
      <w:r>
        <w:rPr/>
        <w:t xml:space="preserve">边界登记：老师“5位”与示例“6位”的解释采用6位，后续教师明确时更新；真实TA接入/回执不适用；已完成清盘重放延后；基线前缺失历史拒绝；资源配额和性能值为课程建议且必须实测；RTO/RPO数值待恢复演练，不以实现暗选；小组/成员按用户要求暂留空。四项改造最终完成判定须同时覆盖新增验收和所有保留业务回归。</w:t>
      </w:r>
    </w:p>
    <w:sectPr w:rsidR="002854D0">
      <w:footerReference w:type="default" r:id="rId18"/>
      <w:pgSz w:w="11906" w:h="16838"/>
      <w:pgMar w:top="1440" w:right="1797" w:bottom="1440" w:left="21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785C7" w14:textId="77777777" w:rsidR="00C17EFB" w:rsidRDefault="00C17EFB">
      <w:r>
        <w:separator/>
      </w:r>
    </w:p>
  </w:endnote>
  <w:endnote w:type="continuationSeparator" w:id="0">
    <w:p w14:paraId="088F199B" w14:textId="77777777" w:rsidR="00C17EFB" w:rsidRDefault="00C17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体">
    <w:altName w:val="宋体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35E0" w14:textId="77777777" w:rsidR="002854D0" w:rsidRDefault="00087CDD">
    <w:pPr>
      <w:pStyle w:val="a9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4BE9C89D" w14:textId="77777777" w:rsidR="002854D0" w:rsidRDefault="002854D0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EE35C" w14:textId="77777777" w:rsidR="002854D0" w:rsidRDefault="00087CDD">
    <w:pPr>
      <w:pStyle w:val="a9"/>
    </w:pPr>
    <w:r>
      <w:rPr>
        <w:rFonts w:hint="eastAsia"/>
        <w:b/>
        <w:sz w:val="21"/>
        <w:szCs w:val="21"/>
      </w:rPr>
      <w:t>课程教学材料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797" w14:textId="77777777" w:rsidR="00CE19A5" w:rsidRDefault="00CE19A5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989F9" w14:textId="77777777" w:rsidR="002854D0" w:rsidRDefault="00087CDD">
    <w:pPr>
      <w:pStyle w:val="a9"/>
    </w:pPr>
    <w:r>
      <w:rPr>
        <w:rFonts w:hint="eastAsia"/>
        <w:b/>
        <w:sz w:val="21"/>
        <w:szCs w:val="21"/>
      </w:rPr>
      <w:t>课程教学材料</w:t>
    </w:r>
    <w:r>
      <w:rPr>
        <w:rFonts w:hint="eastAsia"/>
      </w:rPr>
      <w:t xml:space="preserve">                                 </w:t>
    </w:r>
    <w:sdt>
      <w:sdtPr>
        <w:id w:val="-1383552289"/>
        <w:docPartObj>
          <w:docPartGallery w:val="AutoText"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sdtContent>
    </w:sdt>
  </w:p>
  <w:p w14:paraId="311EC916" w14:textId="77777777" w:rsidR="002854D0" w:rsidRDefault="002854D0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9042177"/>
      <w:docPartObj>
        <w:docPartGallery w:val="AutoText"/>
      </w:docPartObj>
    </w:sdtPr>
    <w:sdtContent>
      <w:p w14:paraId="155DF480" w14:textId="77777777" w:rsidR="002854D0" w:rsidRDefault="00087CDD">
        <w:pPr>
          <w:pStyle w:val="a9"/>
        </w:pPr>
        <w:r>
          <w:rPr>
            <w:rFonts w:hint="eastAsia"/>
            <w:b/>
            <w:sz w:val="21"/>
            <w:szCs w:val="21"/>
          </w:rPr>
          <w:t>课程教学材料</w:t>
        </w:r>
        <w:r>
          <w:rPr>
            <w:rFonts w:hint="eastAsia"/>
            <w:b/>
            <w:sz w:val="21"/>
            <w:szCs w:val="21"/>
          </w:rPr>
          <w:t xml:space="preserve">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07989D5" w14:textId="77777777" w:rsidR="002854D0" w:rsidRDefault="002854D0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9D7F" w14:textId="77777777" w:rsidR="002854D0" w:rsidRDefault="00087CDD">
    <w:pPr>
      <w:pStyle w:val="a9"/>
    </w:pPr>
    <w:r>
      <w:rPr>
        <w:rFonts w:hint="eastAsia"/>
        <w:b/>
        <w:sz w:val="21"/>
        <w:szCs w:val="21"/>
      </w:rPr>
      <w:t>课程教学材料</w:t>
    </w:r>
    <w:r>
      <w:rPr>
        <w:rFonts w:hint="eastAsia"/>
        <w:b/>
        <w:sz w:val="21"/>
        <w:szCs w:val="21"/>
      </w:rPr>
      <w:t xml:space="preserve">                             </w:t>
    </w:r>
    <w:sdt>
      <w:sdtPr>
        <w:id w:val="-1610425704"/>
        <w:docPartObj>
          <w:docPartGallery w:val="AutoText"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sdtContent>
    </w:sdt>
  </w:p>
  <w:p w14:paraId="681EDBFD" w14:textId="77777777" w:rsidR="002854D0" w:rsidRDefault="002854D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57213" w14:textId="77777777" w:rsidR="00C17EFB" w:rsidRDefault="00C17EFB">
      <w:r>
        <w:separator/>
      </w:r>
    </w:p>
  </w:footnote>
  <w:footnote w:type="continuationSeparator" w:id="0">
    <w:p w14:paraId="515298D6" w14:textId="77777777" w:rsidR="00C17EFB" w:rsidRDefault="00C17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A9399" w14:textId="77777777" w:rsidR="00CE19A5" w:rsidRDefault="00CE19A5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1D0D4" w14:textId="77777777" w:rsidR="00CE19A5" w:rsidRDefault="00CE19A5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A3D3D" w14:textId="77777777" w:rsidR="00CE19A5" w:rsidRDefault="00CE19A5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81DB" w14:textId="7A88A3D1" w:rsidR="002854D0" w:rsidRDefault="00087CDD">
    <w:pPr>
      <w:pStyle w:val="ab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6CA79EE" wp14:editId="30B49014">
          <wp:simplePos x="0" y="0"/>
          <wp:positionH relativeFrom="column">
            <wp:posOffset>54610</wp:posOffset>
          </wp:positionH>
          <wp:positionV relativeFrom="paragraph">
            <wp:posOffset>-38735</wp:posOffset>
          </wp:positionV>
          <wp:extent cx="539115" cy="303530"/>
          <wp:effectExtent l="0" t="0" r="0" b="0"/>
          <wp:wrapNone/>
          <wp:docPr id="30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115" cy="303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 xml:space="preserve">                     </w:t>
    </w:r>
    <w:r w:rsidR="00CE19A5">
      <w:rPr>
        <w:rFonts w:hint="eastAsia"/>
        <w:sz w:val="21"/>
        <w:szCs w:val="21"/>
      </w:rPr>
      <w:t>创新实践</w:t>
    </w:r>
    <w:r w:rsidR="00CE19A5">
      <w:rPr>
        <w:rFonts w:hint="eastAsia"/>
        <w:sz w:val="21"/>
        <w:szCs w:val="21"/>
      </w:rPr>
      <w:t>3</w:t>
    </w:r>
    <w:r>
      <w:rPr>
        <w:rFonts w:hint="eastAsia"/>
        <w:sz w:val="21"/>
        <w:szCs w:val="21"/>
      </w:rPr>
      <w:t>需求规格说明书</w:t>
    </w:r>
    <w:r>
      <w:rPr>
        <w:rFonts w:hint="eastAsia"/>
        <w:sz w:val="21"/>
        <w:szCs w:val="21"/>
      </w:rPr>
      <w:t xml:space="preserve">           </w:t>
    </w:r>
    <w:r>
      <w:rPr>
        <w:noProof/>
      </w:rPr>
      <w:drawing>
        <wp:inline distT="0" distB="0" distL="114300" distR="114300" wp14:anchorId="1A082955" wp14:editId="46266218">
          <wp:extent cx="800100" cy="154940"/>
          <wp:effectExtent l="0" t="0" r="0" b="10160"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00100" cy="154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12B"/>
    <w:multiLevelType w:val="singleLevel"/>
    <w:tmpl w:val="0132112B"/>
    <w:lvl w:ilvl="0">
      <w:start w:val="1"/>
      <w:numFmt w:val="bullet"/>
      <w:lvlText w:val="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1" w15:restartNumberingAfterBreak="0">
    <w:nsid w:val="1A18301F"/>
    <w:multiLevelType w:val="singleLevel"/>
    <w:tmpl w:val="1A18301F"/>
    <w:lvl w:ilvl="0">
      <w:start w:val="1"/>
      <w:numFmt w:val="decimal"/>
      <w:lvlText w:val="%1．"/>
      <w:lvlJc w:val="left"/>
      <w:pPr>
        <w:tabs>
          <w:tab w:val="left" w:pos="315"/>
        </w:tabs>
        <w:ind w:left="315" w:hanging="315"/>
      </w:pPr>
      <w:rPr>
        <w:rFonts w:hint="eastAsia"/>
      </w:rPr>
    </w:lvl>
  </w:abstractNum>
  <w:abstractNum w:abstractNumId="2" w15:restartNumberingAfterBreak="0">
    <w:nsid w:val="3EA17A0E"/>
    <w:multiLevelType w:val="multilevel"/>
    <w:tmpl w:val="3EA17A0E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ascii="Arial" w:hAnsi="Arial" w:cs="Arial" w:hint="default"/>
        <w:b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5F4112F1"/>
    <w:multiLevelType w:val="multilevel"/>
    <w:tmpl w:val="5F4112F1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2C60323"/>
    <w:multiLevelType w:val="multilevel"/>
    <w:tmpl w:val="62C60323"/>
    <w:lvl w:ilvl="0">
      <w:start w:val="1"/>
      <w:numFmt w:val="bullet"/>
      <w:pStyle w:val="a"/>
      <w:lvlText w:val=""/>
      <w:lvlJc w:val="left"/>
      <w:pPr>
        <w:ind w:left="2114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53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95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37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79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1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63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05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74" w:hanging="420"/>
      </w:pPr>
      <w:rPr>
        <w:rFonts w:ascii="Wingdings" w:hAnsi="Wingdings" w:hint="default"/>
      </w:rPr>
    </w:lvl>
  </w:abstractNum>
  <w:abstractNum w:abstractNumId="5" w15:restartNumberingAfterBreak="0">
    <w:nsid w:val="649A3251"/>
    <w:multiLevelType w:val="multilevel"/>
    <w:tmpl w:val="649A325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21144372">
    <w:abstractNumId w:val="2"/>
  </w:num>
  <w:num w:numId="2" w16cid:durableId="1200893467">
    <w:abstractNumId w:val="4"/>
  </w:num>
  <w:num w:numId="3" w16cid:durableId="356736706">
    <w:abstractNumId w:val="3"/>
  </w:num>
  <w:num w:numId="4" w16cid:durableId="165831325">
    <w:abstractNumId w:val="5"/>
  </w:num>
  <w:num w:numId="5" w16cid:durableId="1726834573">
    <w:abstractNumId w:val="1"/>
  </w:num>
  <w:num w:numId="6" w16cid:durableId="94196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A5"/>
    <w:rsid w:val="0000049B"/>
    <w:rsid w:val="00012386"/>
    <w:rsid w:val="00015285"/>
    <w:rsid w:val="0003101F"/>
    <w:rsid w:val="00032D3A"/>
    <w:rsid w:val="00040A6D"/>
    <w:rsid w:val="0005018D"/>
    <w:rsid w:val="000515BD"/>
    <w:rsid w:val="00052D8B"/>
    <w:rsid w:val="00062F0D"/>
    <w:rsid w:val="000817D8"/>
    <w:rsid w:val="00083364"/>
    <w:rsid w:val="000855DD"/>
    <w:rsid w:val="00086DA1"/>
    <w:rsid w:val="00087CDD"/>
    <w:rsid w:val="000907FE"/>
    <w:rsid w:val="000A4809"/>
    <w:rsid w:val="000B37D5"/>
    <w:rsid w:val="000B464A"/>
    <w:rsid w:val="000C0A1E"/>
    <w:rsid w:val="000C5161"/>
    <w:rsid w:val="000C5E9F"/>
    <w:rsid w:val="000C7455"/>
    <w:rsid w:val="000D3268"/>
    <w:rsid w:val="000D5741"/>
    <w:rsid w:val="000E34EE"/>
    <w:rsid w:val="000E7044"/>
    <w:rsid w:val="000F5510"/>
    <w:rsid w:val="00106903"/>
    <w:rsid w:val="001102C9"/>
    <w:rsid w:val="00117192"/>
    <w:rsid w:val="0015446D"/>
    <w:rsid w:val="00163FCE"/>
    <w:rsid w:val="001667A2"/>
    <w:rsid w:val="0017209D"/>
    <w:rsid w:val="00174059"/>
    <w:rsid w:val="00184503"/>
    <w:rsid w:val="001912A3"/>
    <w:rsid w:val="001A51B0"/>
    <w:rsid w:val="001B30DF"/>
    <w:rsid w:val="001B531C"/>
    <w:rsid w:val="001D3E03"/>
    <w:rsid w:val="001E29FB"/>
    <w:rsid w:val="002018E8"/>
    <w:rsid w:val="00201E4B"/>
    <w:rsid w:val="002020A7"/>
    <w:rsid w:val="0020536D"/>
    <w:rsid w:val="002156F3"/>
    <w:rsid w:val="00235C76"/>
    <w:rsid w:val="00236965"/>
    <w:rsid w:val="00236C79"/>
    <w:rsid w:val="00237D1A"/>
    <w:rsid w:val="0024745F"/>
    <w:rsid w:val="00257309"/>
    <w:rsid w:val="0027733B"/>
    <w:rsid w:val="0028338F"/>
    <w:rsid w:val="002854D0"/>
    <w:rsid w:val="00285986"/>
    <w:rsid w:val="002946F4"/>
    <w:rsid w:val="00295F28"/>
    <w:rsid w:val="002A29E7"/>
    <w:rsid w:val="002A7E78"/>
    <w:rsid w:val="002B5331"/>
    <w:rsid w:val="002B65F9"/>
    <w:rsid w:val="002C1920"/>
    <w:rsid w:val="002D39DD"/>
    <w:rsid w:val="002E6D55"/>
    <w:rsid w:val="002F252B"/>
    <w:rsid w:val="002F3A23"/>
    <w:rsid w:val="002F3AD7"/>
    <w:rsid w:val="002F4B76"/>
    <w:rsid w:val="002F605C"/>
    <w:rsid w:val="002F7287"/>
    <w:rsid w:val="003135F7"/>
    <w:rsid w:val="0032055E"/>
    <w:rsid w:val="00323D09"/>
    <w:rsid w:val="0032416E"/>
    <w:rsid w:val="00336090"/>
    <w:rsid w:val="0036393F"/>
    <w:rsid w:val="00373FAC"/>
    <w:rsid w:val="00390106"/>
    <w:rsid w:val="003A6E6B"/>
    <w:rsid w:val="003A6ECE"/>
    <w:rsid w:val="003C03ED"/>
    <w:rsid w:val="003D2037"/>
    <w:rsid w:val="003D56B1"/>
    <w:rsid w:val="003E0C2D"/>
    <w:rsid w:val="003F4F25"/>
    <w:rsid w:val="00403423"/>
    <w:rsid w:val="004047C0"/>
    <w:rsid w:val="00410281"/>
    <w:rsid w:val="004105F3"/>
    <w:rsid w:val="00434334"/>
    <w:rsid w:val="00455DDA"/>
    <w:rsid w:val="00465D19"/>
    <w:rsid w:val="00474D31"/>
    <w:rsid w:val="00481D73"/>
    <w:rsid w:val="004963D3"/>
    <w:rsid w:val="004D0183"/>
    <w:rsid w:val="004D446C"/>
    <w:rsid w:val="004D4650"/>
    <w:rsid w:val="004F4DA4"/>
    <w:rsid w:val="00502817"/>
    <w:rsid w:val="005064D6"/>
    <w:rsid w:val="00526ABD"/>
    <w:rsid w:val="00531FCD"/>
    <w:rsid w:val="00562F4A"/>
    <w:rsid w:val="0057633C"/>
    <w:rsid w:val="005B242B"/>
    <w:rsid w:val="005B2F40"/>
    <w:rsid w:val="005B71B0"/>
    <w:rsid w:val="005C6CAA"/>
    <w:rsid w:val="005D10D7"/>
    <w:rsid w:val="005E0129"/>
    <w:rsid w:val="005E3977"/>
    <w:rsid w:val="005E3D81"/>
    <w:rsid w:val="006134C6"/>
    <w:rsid w:val="00614730"/>
    <w:rsid w:val="00617ADA"/>
    <w:rsid w:val="00622A8C"/>
    <w:rsid w:val="006312EE"/>
    <w:rsid w:val="00642380"/>
    <w:rsid w:val="00642E7A"/>
    <w:rsid w:val="00643F46"/>
    <w:rsid w:val="00652677"/>
    <w:rsid w:val="00655F86"/>
    <w:rsid w:val="00674086"/>
    <w:rsid w:val="00686938"/>
    <w:rsid w:val="00687242"/>
    <w:rsid w:val="006C4C13"/>
    <w:rsid w:val="006C7A7F"/>
    <w:rsid w:val="006D1752"/>
    <w:rsid w:val="006D2155"/>
    <w:rsid w:val="006E2A09"/>
    <w:rsid w:val="006E35B4"/>
    <w:rsid w:val="006F5032"/>
    <w:rsid w:val="006F54ED"/>
    <w:rsid w:val="006F5CB8"/>
    <w:rsid w:val="00720335"/>
    <w:rsid w:val="0072437F"/>
    <w:rsid w:val="007315C0"/>
    <w:rsid w:val="00731AC0"/>
    <w:rsid w:val="00761479"/>
    <w:rsid w:val="0077375D"/>
    <w:rsid w:val="00777772"/>
    <w:rsid w:val="00777F0C"/>
    <w:rsid w:val="0078126D"/>
    <w:rsid w:val="007940F5"/>
    <w:rsid w:val="007B1A3E"/>
    <w:rsid w:val="007C7022"/>
    <w:rsid w:val="007D75D2"/>
    <w:rsid w:val="007E3C88"/>
    <w:rsid w:val="007E7DA5"/>
    <w:rsid w:val="007F0A45"/>
    <w:rsid w:val="007F2A9F"/>
    <w:rsid w:val="007F4FD3"/>
    <w:rsid w:val="008103F3"/>
    <w:rsid w:val="00822B26"/>
    <w:rsid w:val="00833DEA"/>
    <w:rsid w:val="00842ACA"/>
    <w:rsid w:val="00855DAE"/>
    <w:rsid w:val="00876ADB"/>
    <w:rsid w:val="00877A3A"/>
    <w:rsid w:val="00886CA3"/>
    <w:rsid w:val="0089384E"/>
    <w:rsid w:val="0089573C"/>
    <w:rsid w:val="00896E5B"/>
    <w:rsid w:val="008974F2"/>
    <w:rsid w:val="008A6325"/>
    <w:rsid w:val="008B0673"/>
    <w:rsid w:val="008C2BB8"/>
    <w:rsid w:val="008D5E38"/>
    <w:rsid w:val="008E643F"/>
    <w:rsid w:val="008E7ADB"/>
    <w:rsid w:val="008F6B12"/>
    <w:rsid w:val="0091264A"/>
    <w:rsid w:val="009178C3"/>
    <w:rsid w:val="00920EF6"/>
    <w:rsid w:val="0092214F"/>
    <w:rsid w:val="00931CA4"/>
    <w:rsid w:val="009434BF"/>
    <w:rsid w:val="00944C9D"/>
    <w:rsid w:val="0094730F"/>
    <w:rsid w:val="009735CF"/>
    <w:rsid w:val="009811A8"/>
    <w:rsid w:val="00987F66"/>
    <w:rsid w:val="009923BA"/>
    <w:rsid w:val="009A564C"/>
    <w:rsid w:val="009A5AFA"/>
    <w:rsid w:val="009D431C"/>
    <w:rsid w:val="00A24F39"/>
    <w:rsid w:val="00A30C99"/>
    <w:rsid w:val="00A321A8"/>
    <w:rsid w:val="00A41BAA"/>
    <w:rsid w:val="00A42212"/>
    <w:rsid w:val="00A4591E"/>
    <w:rsid w:val="00A4627F"/>
    <w:rsid w:val="00A55056"/>
    <w:rsid w:val="00A571FE"/>
    <w:rsid w:val="00A613FA"/>
    <w:rsid w:val="00A767A5"/>
    <w:rsid w:val="00A9178A"/>
    <w:rsid w:val="00A9682B"/>
    <w:rsid w:val="00AC615F"/>
    <w:rsid w:val="00AE1911"/>
    <w:rsid w:val="00AE5948"/>
    <w:rsid w:val="00AF14CD"/>
    <w:rsid w:val="00AF2A65"/>
    <w:rsid w:val="00AF3B9F"/>
    <w:rsid w:val="00B00439"/>
    <w:rsid w:val="00B06C78"/>
    <w:rsid w:val="00B10B70"/>
    <w:rsid w:val="00B24352"/>
    <w:rsid w:val="00B2555F"/>
    <w:rsid w:val="00B4310C"/>
    <w:rsid w:val="00B6428F"/>
    <w:rsid w:val="00B67737"/>
    <w:rsid w:val="00B765CD"/>
    <w:rsid w:val="00B84E55"/>
    <w:rsid w:val="00BA7352"/>
    <w:rsid w:val="00BB038C"/>
    <w:rsid w:val="00BC34DE"/>
    <w:rsid w:val="00BE3544"/>
    <w:rsid w:val="00C05865"/>
    <w:rsid w:val="00C05AC4"/>
    <w:rsid w:val="00C17EFB"/>
    <w:rsid w:val="00C2171C"/>
    <w:rsid w:val="00C2711D"/>
    <w:rsid w:val="00C32D46"/>
    <w:rsid w:val="00C37AC8"/>
    <w:rsid w:val="00C55072"/>
    <w:rsid w:val="00C61E8C"/>
    <w:rsid w:val="00C73F3D"/>
    <w:rsid w:val="00C84FC0"/>
    <w:rsid w:val="00C92F10"/>
    <w:rsid w:val="00CA24AC"/>
    <w:rsid w:val="00CA5842"/>
    <w:rsid w:val="00CB2C28"/>
    <w:rsid w:val="00CC6F79"/>
    <w:rsid w:val="00CC72D3"/>
    <w:rsid w:val="00CE19A5"/>
    <w:rsid w:val="00CE2D3F"/>
    <w:rsid w:val="00CE58D5"/>
    <w:rsid w:val="00D0432E"/>
    <w:rsid w:val="00D06563"/>
    <w:rsid w:val="00D2028B"/>
    <w:rsid w:val="00D2132B"/>
    <w:rsid w:val="00D21F38"/>
    <w:rsid w:val="00D26A0A"/>
    <w:rsid w:val="00D377EA"/>
    <w:rsid w:val="00D51EB1"/>
    <w:rsid w:val="00D57176"/>
    <w:rsid w:val="00D60892"/>
    <w:rsid w:val="00D72348"/>
    <w:rsid w:val="00D73FAB"/>
    <w:rsid w:val="00D87C16"/>
    <w:rsid w:val="00D925E1"/>
    <w:rsid w:val="00D951FC"/>
    <w:rsid w:val="00DB1635"/>
    <w:rsid w:val="00DD7F9E"/>
    <w:rsid w:val="00DE03C6"/>
    <w:rsid w:val="00DE54FC"/>
    <w:rsid w:val="00DF1F2B"/>
    <w:rsid w:val="00DF45AE"/>
    <w:rsid w:val="00E02D7C"/>
    <w:rsid w:val="00E033B3"/>
    <w:rsid w:val="00E1591F"/>
    <w:rsid w:val="00E30A4C"/>
    <w:rsid w:val="00E33389"/>
    <w:rsid w:val="00E525F6"/>
    <w:rsid w:val="00E52DE1"/>
    <w:rsid w:val="00E53C52"/>
    <w:rsid w:val="00E6324B"/>
    <w:rsid w:val="00E659F0"/>
    <w:rsid w:val="00E66914"/>
    <w:rsid w:val="00E93394"/>
    <w:rsid w:val="00EC0289"/>
    <w:rsid w:val="00EC047A"/>
    <w:rsid w:val="00ED4040"/>
    <w:rsid w:val="00ED74A3"/>
    <w:rsid w:val="00EE0DC5"/>
    <w:rsid w:val="00EF24B0"/>
    <w:rsid w:val="00EF614F"/>
    <w:rsid w:val="00F21B23"/>
    <w:rsid w:val="00F230B3"/>
    <w:rsid w:val="00F25729"/>
    <w:rsid w:val="00F332D8"/>
    <w:rsid w:val="00F57120"/>
    <w:rsid w:val="00F61DDD"/>
    <w:rsid w:val="00F871CB"/>
    <w:rsid w:val="00F876D8"/>
    <w:rsid w:val="00FB782E"/>
    <w:rsid w:val="00FC30C8"/>
    <w:rsid w:val="00FE2D4D"/>
    <w:rsid w:val="00FF1992"/>
    <w:rsid w:val="00FF316A"/>
    <w:rsid w:val="00FF39E7"/>
    <w:rsid w:val="6A163329"/>
    <w:rsid w:val="75C2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8B1E3B3"/>
  <w15:docId w15:val="{7B1CC46E-50AE-4C4B-A2F1-D02575BD8AB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30"/>
      <w:color w:val="000000"/>
    </w:rPr>
  </w:style>
  <w:style w:type="paragraph" w:styleId="2">
    <w:name w:val="heading 2"/>
    <w:basedOn w:val="a0"/>
    <w:next w:val="a1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/>
      <w:b/>
      <w:bCs/>
      <w:sz w:val="24"/>
      <w:color w:val="000000"/>
    </w:rPr>
  </w:style>
  <w:style w:type="paragraph" w:styleId="3">
    <w:name w:val="heading 3"/>
    <w:basedOn w:val="a0"/>
    <w:next w:val="a1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Cs/>
      <w:sz w:val="24"/>
      <w:color w:val="000000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Normal Indent"/>
    <w:basedOn w:val="a0"/>
    <w:qFormat/>
    <w:pPr>
      <w:ind w:firstLineChars="200" w:firstLine="420"/>
    </w:pPr>
  </w:style>
  <w:style w:type="paragraph" w:styleId="a5">
    <w:name w:val="Document Map"/>
    <w:basedOn w:val="a0"/>
    <w:semiHidden/>
    <w:qFormat/>
    <w:pPr>
      <w:shd w:val="clear" w:color="auto" w:fill="000080"/>
    </w:pPr>
  </w:style>
  <w:style w:type="paragraph" w:styleId="a6">
    <w:name w:val="annotation text"/>
    <w:basedOn w:val="a0"/>
    <w:semiHidden/>
    <w:qFormat/>
    <w:pPr>
      <w:jc w:val="left"/>
    </w:pPr>
  </w:style>
  <w:style w:type="paragraph" w:styleId="a7">
    <w:name w:val="Body Text Indent"/>
    <w:basedOn w:val="a0"/>
    <w:qFormat/>
    <w:pPr>
      <w:adjustRightInd w:val="0"/>
      <w:spacing w:line="400" w:lineRule="atLeast"/>
      <w:ind w:left="1050"/>
      <w:textAlignment w:val="baseline"/>
    </w:pPr>
    <w:rPr>
      <w:rFonts w:ascii="宋体"/>
      <w:kern w:val="0"/>
    </w:rPr>
  </w:style>
  <w:style w:type="paragraph" w:styleId="TOC3">
    <w:name w:val="toc 3"/>
    <w:basedOn w:val="a0"/>
    <w:next w:val="a0"/>
    <w:uiPriority w:val="39"/>
    <w:qFormat/>
    <w:pPr>
      <w:tabs>
        <w:tab w:val="left" w:pos="1680"/>
        <w:tab w:val="right" w:leader="dot" w:pos="8018"/>
      </w:tabs>
      <w:ind w:leftChars="400" w:left="840"/>
    </w:pPr>
    <w:rPr>
      <w:rFonts w:ascii="Arial" w:hAnsi="Arial" w:cs="Arial"/>
    </w:rPr>
  </w:style>
  <w:style w:type="paragraph" w:styleId="20">
    <w:name w:val="Body Text Indent 2"/>
    <w:basedOn w:val="a0"/>
    <w:pPr>
      <w:adjustRightInd w:val="0"/>
      <w:spacing w:line="400" w:lineRule="atLeast"/>
      <w:ind w:left="630"/>
      <w:textAlignment w:val="baseline"/>
    </w:pPr>
    <w:rPr>
      <w:rFonts w:ascii="宋体"/>
      <w:kern w:val="0"/>
    </w:rPr>
  </w:style>
  <w:style w:type="paragraph" w:styleId="a8">
    <w:name w:val="Balloon Text"/>
    <w:basedOn w:val="a0"/>
    <w:semiHidden/>
    <w:qFormat/>
    <w:rPr>
      <w:sz w:val="18"/>
      <w:szCs w:val="18"/>
    </w:rPr>
  </w:style>
  <w:style w:type="paragraph" w:styleId="a9">
    <w:name w:val="footer"/>
    <w:basedOn w:val="a0"/>
    <w:link w:val="aa"/>
    <w:uiPriority w:val="99"/>
    <w:qFormat/>
    <w:pPr>
      <w:tabs>
        <w:tab w:val="center" w:pos="4320"/>
        <w:tab w:val="right" w:pos="8640"/>
      </w:tabs>
      <w:snapToGrid w:val="0"/>
      <w:jc w:val="left"/>
    </w:pPr>
    <w:rPr>
      <w:sz w:val="18"/>
    </w:rPr>
  </w:style>
  <w:style w:type="paragraph" w:styleId="ab">
    <w:name w:val="header"/>
    <w:basedOn w:val="a0"/>
    <w:pPr>
      <w:pBdr>
        <w:bottom w:val="single" w:sz="6" w:space="1" w:color="auto"/>
      </w:pBdr>
      <w:tabs>
        <w:tab w:val="center" w:pos="4320"/>
        <w:tab w:val="right" w:pos="8640"/>
      </w:tabs>
      <w:snapToGrid w:val="0"/>
      <w:jc w:val="center"/>
    </w:pPr>
    <w:rPr>
      <w:sz w:val="18"/>
    </w:rPr>
  </w:style>
  <w:style w:type="paragraph" w:styleId="TOC1">
    <w:name w:val="toc 1"/>
    <w:basedOn w:val="a0"/>
    <w:next w:val="a0"/>
    <w:uiPriority w:val="39"/>
  </w:style>
  <w:style w:type="paragraph" w:styleId="TOC2">
    <w:name w:val="toc 2"/>
    <w:basedOn w:val="a0"/>
    <w:next w:val="a0"/>
    <w:uiPriority w:val="39"/>
    <w:qFormat/>
    <w:pPr>
      <w:tabs>
        <w:tab w:val="left" w:pos="1050"/>
        <w:tab w:val="right" w:leader="dot" w:pos="8018"/>
      </w:tabs>
      <w:ind w:leftChars="200" w:left="420"/>
    </w:pPr>
  </w:style>
  <w:style w:type="paragraph" w:styleId="10">
    <w:name w:val="index 1"/>
    <w:basedOn w:val="a0"/>
    <w:next w:val="a0"/>
    <w:semiHidden/>
    <w:qFormat/>
    <w:pPr>
      <w:spacing w:line="360" w:lineRule="auto"/>
      <w:outlineLvl w:val="0"/>
    </w:pPr>
    <w:rPr>
      <w:color w:val="000000"/>
      <w:sz w:val="24"/>
    </w:rPr>
  </w:style>
  <w:style w:type="paragraph" w:styleId="ac">
    <w:name w:val="annotation subject"/>
    <w:basedOn w:val="a6"/>
    <w:next w:val="a6"/>
    <w:semiHidden/>
    <w:qFormat/>
    <w:rPr>
      <w:b/>
      <w:bCs/>
    </w:rPr>
  </w:style>
  <w:style w:type="table" w:styleId="ad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2"/>
  </w:style>
  <w:style w:type="character" w:styleId="af">
    <w:name w:val="Hyperlink"/>
    <w:uiPriority w:val="99"/>
    <w:qFormat/>
    <w:rPr>
      <w:color w:val="0000FF"/>
      <w:u w:val="single"/>
    </w:rPr>
  </w:style>
  <w:style w:type="character" w:styleId="af0">
    <w:name w:val="annotation reference"/>
    <w:semiHidden/>
    <w:qFormat/>
    <w:rPr>
      <w:sz w:val="21"/>
      <w:szCs w:val="21"/>
    </w:rPr>
  </w:style>
  <w:style w:type="paragraph" w:customStyle="1" w:styleId="TableHeadingCenter">
    <w:name w:val="Table_Heading_Center"/>
    <w:basedOn w:val="a0"/>
    <w:qFormat/>
    <w:pPr>
      <w:keepNext/>
      <w:keepLines/>
      <w:widowControl/>
      <w:tabs>
        <w:tab w:val="left" w:pos="360"/>
      </w:tabs>
      <w:spacing w:before="40" w:after="40" w:line="360" w:lineRule="auto"/>
      <w:jc w:val="center"/>
    </w:pPr>
    <w:rPr>
      <w:rFonts w:ascii="黑体" w:eastAsia="黑体" w:hAnsi="仿宋体"/>
      <w:b/>
      <w:color w:val="000000"/>
      <w:kern w:val="0"/>
      <w:sz w:val="24"/>
    </w:rPr>
  </w:style>
  <w:style w:type="paragraph" w:customStyle="1" w:styleId="40">
    <w:name w:val="标题4"/>
    <w:basedOn w:val="2"/>
    <w:qFormat/>
    <w:pPr>
      <w:numPr>
        <w:ilvl w:val="0"/>
        <w:numId w:val="0"/>
      </w:numPr>
      <w:jc w:val="center"/>
    </w:pPr>
    <w:rPr>
      <w:rFonts w:eastAsia="黑体"/>
      <w:bCs w:val="0"/>
      <w:sz w:val="28"/>
    </w:rPr>
  </w:style>
  <w:style w:type="paragraph" w:customStyle="1" w:styleId="11">
    <w:name w:val="1"/>
    <w:basedOn w:val="a0"/>
    <w:next w:val="a1"/>
    <w:qFormat/>
    <w:pPr>
      <w:ind w:firstLineChars="200" w:firstLine="420"/>
    </w:pPr>
  </w:style>
  <w:style w:type="paragraph" w:customStyle="1" w:styleId="a">
    <w:name w:val="步骤"/>
    <w:basedOn w:val="a0"/>
    <w:link w:val="Char"/>
    <w:qFormat/>
    <w:pPr>
      <w:numPr>
        <w:numId w:val="2"/>
      </w:numPr>
      <w:adjustRightInd w:val="0"/>
      <w:spacing w:line="360" w:lineRule="auto"/>
    </w:pPr>
    <w:rPr>
      <w:rFonts w:ascii="宋体" w:hAnsi="宋体"/>
      <w:szCs w:val="21"/>
    </w:rPr>
  </w:style>
  <w:style w:type="character" w:customStyle="1" w:styleId="Char">
    <w:name w:val="步骤 Char"/>
    <w:link w:val="a"/>
    <w:qFormat/>
    <w:rPr>
      <w:rFonts w:ascii="宋体" w:hAnsi="宋体"/>
      <w:kern w:val="2"/>
      <w:sz w:val="21"/>
      <w:szCs w:val="21"/>
    </w:rPr>
  </w:style>
  <w:style w:type="character" w:customStyle="1" w:styleId="aa">
    <w:name w:val="页脚 字符"/>
    <w:basedOn w:val="a2"/>
    <w:link w:val="a9"/>
    <w:uiPriority w:val="99"/>
    <w:rPr>
      <w:kern w:val="2"/>
      <w:sz w:val="18"/>
    </w:rPr>
  </w:style>
  <w:style w:type="paragraph" w:styleId="Title">
    <w:name w:val="Title"/>
    <w:basedOn w:val="Normal"/>
    <w:rPr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9905DE8-8B6B-4952-A8F6-1D17E80AB4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Microsoft Office Word</Application>
  <DocSecurity>0</DocSecurity>
  <Lines>37</Lines>
  <Paragraphs>10</Paragraphs>
  <ScaleCrop>false</ScaleCrop>
  <Company>Microsoft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课程小组</dc:creator>
  <cp:lastModifiedBy>课程小组</cp:lastModifiedBy>
  <cp:revision>3</cp:revision>
  <cp:lastPrinted>2003-01-24T02:16:00Z</cp:lastPrinted>
  <dcterms:created xsi:type="dcterms:W3CDTF">2026-10-10T02:31:00Z</dcterms:created>
  <dcterms:modified xsi:type="dcterms:W3CDTF">2026-10-10T02:32:00Z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37EEF808407849EC958180AAB7730A27</vt:lpwstr>
  </property>
</Properties>
</file>