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8954" w14:textId="72C58518" w:rsidR="003D06F6" w:rsidRDefault="003D06F6" w:rsidP="000E191D">
      <w:pPr>
        <w:rPr>
          <w:sz w:val="36"/>
          <w:szCs w:val="36"/>
          <w:lang w:val="en-GB"/>
        </w:rPr>
      </w:pPr>
      <w:r>
        <w:rPr>
          <w:sz w:val="36"/>
          <w:szCs w:val="36"/>
          <w:lang w:val="en-GB"/>
        </w:rPr>
        <w:t>Written sections</w:t>
      </w:r>
    </w:p>
    <w:p w14:paraId="2BFC623C" w14:textId="0D17FD84" w:rsidR="00D16B88" w:rsidRPr="003D06F6" w:rsidRDefault="00D16B88" w:rsidP="000E191D">
      <w:pPr>
        <w:rPr>
          <w:sz w:val="36"/>
          <w:szCs w:val="36"/>
          <w:lang w:val="en-GB"/>
        </w:rPr>
      </w:pPr>
      <w:r>
        <w:rPr>
          <w:sz w:val="36"/>
          <w:szCs w:val="36"/>
          <w:lang w:val="en-GB"/>
        </w:rPr>
        <w:t>5a.</w:t>
      </w:r>
    </w:p>
    <w:p w14:paraId="282DBEF4" w14:textId="49708A6E" w:rsidR="00BB13F4" w:rsidRDefault="005201C5" w:rsidP="000E191D">
      <w:pPr>
        <w:rPr>
          <w:lang w:val="en-GB"/>
        </w:rPr>
      </w:pPr>
      <w:r>
        <w:rPr>
          <w:lang w:val="en-GB"/>
        </w:rPr>
        <w:t>Based on the standard errors calculated, the sandwich estimator and the bootstrap estimator agree very closely with each other, maintaining ratios very close to 1 for each predictor. The model-based errors are much smaller than the other two,</w:t>
      </w:r>
      <w:r w:rsidR="003D06F6">
        <w:rPr>
          <w:lang w:val="en-GB"/>
        </w:rPr>
        <w:t xml:space="preserve"> being approximately 0</w:t>
      </w:r>
      <w:r>
        <w:rPr>
          <w:lang w:val="en-GB"/>
        </w:rPr>
        <w:t>.34</w:t>
      </w:r>
      <w:r w:rsidR="003D06F6">
        <w:rPr>
          <w:lang w:val="en-GB"/>
        </w:rPr>
        <w:t>-</w:t>
      </w:r>
      <w:r>
        <w:rPr>
          <w:lang w:val="en-GB"/>
        </w:rPr>
        <w:t xml:space="preserve">0.42 </w:t>
      </w:r>
      <w:r w:rsidR="003D06F6">
        <w:rPr>
          <w:lang w:val="en-GB"/>
        </w:rPr>
        <w:t xml:space="preserve">times its counterparts for </w:t>
      </w:r>
      <w:r>
        <w:rPr>
          <w:lang w:val="en-GB"/>
        </w:rPr>
        <w:t xml:space="preserve">each predictor.  This </w:t>
      </w:r>
      <w:r w:rsidR="003D06F6">
        <w:rPr>
          <w:lang w:val="en-GB"/>
        </w:rPr>
        <w:t>may</w:t>
      </w:r>
      <w:r>
        <w:rPr>
          <w:lang w:val="en-GB"/>
        </w:rPr>
        <w:t xml:space="preserve"> occur</w:t>
      </w:r>
      <w:r w:rsidR="003D06F6">
        <w:rPr>
          <w:lang w:val="en-GB"/>
        </w:rPr>
        <w:t xml:space="preserve"> </w:t>
      </w:r>
      <w:r>
        <w:rPr>
          <w:lang w:val="en-GB"/>
        </w:rPr>
        <w:t>due to the assumptions each estimator</w:t>
      </w:r>
      <w:r w:rsidR="003D06F6">
        <w:rPr>
          <w:lang w:val="en-GB"/>
        </w:rPr>
        <w:t xml:space="preserve"> puts forward</w:t>
      </w:r>
      <w:r>
        <w:rPr>
          <w:lang w:val="en-GB"/>
        </w:rPr>
        <w:t xml:space="preserve"> – the model-based standard errors are calculated under the assumption that </w:t>
      </w:r>
      <w:r w:rsidR="00907306">
        <w:rPr>
          <w:lang w:val="en-GB"/>
        </w:rPr>
        <w:t>the model is correctly specified under Poisson regression</w:t>
      </w:r>
      <w:r>
        <w:rPr>
          <w:lang w:val="en-GB"/>
        </w:rPr>
        <w:t>, whereas both bootstrapping and sandwich estimation</w:t>
      </w:r>
      <w:r w:rsidR="003D06F6">
        <w:rPr>
          <w:lang w:val="en-GB"/>
        </w:rPr>
        <w:t xml:space="preserve"> are more robust to misspecification</w:t>
      </w:r>
      <w:r>
        <w:rPr>
          <w:lang w:val="en-GB"/>
        </w:rPr>
        <w:t>. As such, the other two methods provide a more robust, “safe” optio</w:t>
      </w:r>
      <w:r w:rsidR="003D06F6">
        <w:rPr>
          <w:lang w:val="en-GB"/>
        </w:rPr>
        <w:t>n not contingent on model specification</w:t>
      </w:r>
      <w:r>
        <w:rPr>
          <w:lang w:val="en-GB"/>
        </w:rPr>
        <w:t xml:space="preserve">. Between the two, </w:t>
      </w:r>
      <w:r w:rsidR="00907306">
        <w:rPr>
          <w:lang w:val="en-GB"/>
        </w:rPr>
        <w:t xml:space="preserve">the sandwich estimator may be preferable to use since the time to estimate beta-hat via the Newton method and produce the errors (~7 seconds) is significantly shorter than bootstrapping with 1000 draws using the Poisson model family (~20 seconds). </w:t>
      </w:r>
    </w:p>
    <w:p w14:paraId="30EBAE15" w14:textId="0AF0C6C5" w:rsidR="00AA0BB6" w:rsidRPr="003D06F6" w:rsidRDefault="00AA0BB6" w:rsidP="00AA0BB6">
      <w:pPr>
        <w:rPr>
          <w:sz w:val="36"/>
          <w:szCs w:val="36"/>
          <w:lang w:val="en-GB"/>
        </w:rPr>
      </w:pPr>
      <w:r>
        <w:rPr>
          <w:sz w:val="36"/>
          <w:szCs w:val="36"/>
          <w:lang w:val="en-GB"/>
        </w:rPr>
        <w:t>5</w:t>
      </w:r>
      <w:r>
        <w:rPr>
          <w:sz w:val="36"/>
          <w:szCs w:val="36"/>
          <w:lang w:val="en-GB"/>
        </w:rPr>
        <w:t>b</w:t>
      </w:r>
      <w:r>
        <w:rPr>
          <w:sz w:val="36"/>
          <w:szCs w:val="36"/>
          <w:lang w:val="en-GB"/>
        </w:rPr>
        <w:t>.</w:t>
      </w:r>
    </w:p>
    <w:p w14:paraId="6054D13B" w14:textId="34A4C322" w:rsidR="00AA0BB6" w:rsidRDefault="00AA0BB6" w:rsidP="000E191D">
      <w:pPr>
        <w:rPr>
          <w:lang w:val="en-GB"/>
        </w:rPr>
      </w:pPr>
      <w:proofErr w:type="spellStart"/>
      <w:r>
        <w:rPr>
          <w:lang w:val="en-GB"/>
        </w:rPr>
        <w:t>G</w:t>
      </w:r>
      <w:r>
        <w:rPr>
          <w:vertAlign w:val="subscript"/>
          <w:lang w:val="en-GB"/>
        </w:rPr>
        <w:t>n</w:t>
      </w:r>
      <w:proofErr w:type="spellEnd"/>
      <w:r>
        <w:rPr>
          <w:lang w:val="en-GB"/>
        </w:rPr>
        <w:t>(</w:t>
      </w:r>
      <w:r w:rsidRPr="00AA0BB6">
        <w:rPr>
          <w:lang w:val="en-GB"/>
        </w:rPr>
        <w:t>β</w:t>
      </w:r>
      <w:r>
        <w:rPr>
          <w:lang w:val="en-GB"/>
        </w:rPr>
        <w:t xml:space="preserve">) = </w:t>
      </w:r>
      <w:r>
        <w:rPr>
          <w:lang w:val="en-GB"/>
        </w:rPr>
        <w:t>X</w:t>
      </w:r>
      <w:r>
        <w:rPr>
          <w:vertAlign w:val="superscript"/>
          <w:lang w:val="en-GB"/>
        </w:rPr>
        <w:t>T</w:t>
      </w:r>
      <w:r>
        <w:rPr>
          <w:lang w:val="en-GB"/>
        </w:rPr>
        <w:t xml:space="preserve"> </w:t>
      </w:r>
      <w:proofErr w:type="spellStart"/>
      <w:proofErr w:type="gramStart"/>
      <w:r>
        <w:rPr>
          <w:lang w:val="en-GB"/>
        </w:rPr>
        <w:t>diag</w:t>
      </w:r>
      <w:proofErr w:type="spellEnd"/>
      <w:r>
        <w:rPr>
          <w:lang w:val="en-GB"/>
        </w:rPr>
        <w:t>(V(</w:t>
      </w:r>
      <w:proofErr w:type="gramEnd"/>
      <w:r>
        <w:rPr>
          <w:lang w:val="en-GB"/>
        </w:rPr>
        <w:t>Y</w:t>
      </w:r>
      <w:r>
        <w:rPr>
          <w:vertAlign w:val="subscript"/>
          <w:lang w:val="en-GB"/>
        </w:rPr>
        <w:t xml:space="preserve"> </w:t>
      </w:r>
      <w:r>
        <w:rPr>
          <w:lang w:val="en-GB"/>
        </w:rPr>
        <w:t xml:space="preserve">| X)) </w:t>
      </w:r>
      <w:r>
        <w:rPr>
          <w:lang w:val="en-GB"/>
        </w:rPr>
        <w:t>X</w:t>
      </w:r>
      <w:r>
        <w:rPr>
          <w:lang w:val="en-GB"/>
        </w:rPr>
        <w:t xml:space="preserve">, assuming row independence. If the Poisson specification is correct (i.e. </w:t>
      </w:r>
      <w:r w:rsidR="00E559ED">
        <w:rPr>
          <w:lang w:val="en-GB"/>
        </w:rPr>
        <w:t xml:space="preserve">conditional mean is correctly specified and </w:t>
      </w:r>
      <w:r>
        <w:rPr>
          <w:lang w:val="en-GB"/>
        </w:rPr>
        <w:t xml:space="preserve">conditional mean equals conditional variance), then </w:t>
      </w:r>
      <w:proofErr w:type="spellStart"/>
      <w:r>
        <w:rPr>
          <w:lang w:val="en-GB"/>
        </w:rPr>
        <w:t>G</w:t>
      </w:r>
      <w:r>
        <w:rPr>
          <w:vertAlign w:val="subscript"/>
          <w:lang w:val="en-GB"/>
        </w:rPr>
        <w:t>n</w:t>
      </w:r>
      <w:proofErr w:type="spellEnd"/>
      <w:r>
        <w:rPr>
          <w:lang w:val="en-GB"/>
        </w:rPr>
        <w:t>(</w:t>
      </w:r>
      <w:r w:rsidRPr="00AA0BB6">
        <w:rPr>
          <w:lang w:val="en-GB"/>
        </w:rPr>
        <w:t>β</w:t>
      </w:r>
      <w:r>
        <w:rPr>
          <w:lang w:val="en-GB"/>
        </w:rPr>
        <w:t>)</w:t>
      </w:r>
      <w:r>
        <w:rPr>
          <w:lang w:val="en-GB"/>
        </w:rPr>
        <w:t xml:space="preserve"> becomes </w:t>
      </w:r>
      <w:proofErr w:type="spellStart"/>
      <w:r>
        <w:rPr>
          <w:lang w:val="en-GB"/>
        </w:rPr>
        <w:t>H</w:t>
      </w:r>
      <w:r>
        <w:rPr>
          <w:vertAlign w:val="subscript"/>
          <w:lang w:val="en-GB"/>
        </w:rPr>
        <w:t>n</w:t>
      </w:r>
      <w:proofErr w:type="spellEnd"/>
      <w:r>
        <w:rPr>
          <w:lang w:val="en-GB"/>
        </w:rPr>
        <w:t>(</w:t>
      </w:r>
      <w:r w:rsidRPr="00AA0BB6">
        <w:rPr>
          <w:lang w:val="en-GB"/>
        </w:rPr>
        <w:t>β</w:t>
      </w:r>
      <w:r>
        <w:rPr>
          <w:lang w:val="en-GB"/>
        </w:rPr>
        <w:t>)</w:t>
      </w:r>
      <w:r>
        <w:rPr>
          <w:lang w:val="en-GB"/>
        </w:rPr>
        <w:t>. Under correct specification, the ratios calculated previously should be close to 1 across model-based SEs and the robust sandwich estimator</w:t>
      </w:r>
      <w:r w:rsidR="000E330D">
        <w:rPr>
          <w:lang w:val="en-GB"/>
        </w:rPr>
        <w:t xml:space="preserve"> (matching the bootstrapped SEs as well)</w:t>
      </w:r>
      <w:r>
        <w:rPr>
          <w:lang w:val="en-GB"/>
        </w:rPr>
        <w:t>, since the</w:t>
      </w:r>
      <w:r w:rsidR="00E559ED">
        <w:rPr>
          <w:lang w:val="en-GB"/>
        </w:rPr>
        <w:t xml:space="preserve"> </w:t>
      </w:r>
      <w:r w:rsidR="00C76A45">
        <w:rPr>
          <w:lang w:val="en-GB"/>
        </w:rPr>
        <w:t>sandwich</w:t>
      </w:r>
      <w:r>
        <w:rPr>
          <w:lang w:val="en-GB"/>
        </w:rPr>
        <w:t xml:space="preserve"> </w:t>
      </w:r>
      <w:r w:rsidR="00C76A45">
        <w:rPr>
          <w:lang w:val="en-GB"/>
        </w:rPr>
        <w:t xml:space="preserve">estimator </w:t>
      </w:r>
      <w:r>
        <w:rPr>
          <w:lang w:val="en-GB"/>
        </w:rPr>
        <w:t>in 1c)</w:t>
      </w:r>
      <w:r w:rsidR="00E559ED">
        <w:rPr>
          <w:lang w:val="en-GB"/>
        </w:rPr>
        <w:t xml:space="preserve"> simplifies the calculation to the inverse of the calculated Hessian when </w:t>
      </w:r>
      <w:proofErr w:type="spellStart"/>
      <w:r w:rsidR="00E559ED">
        <w:rPr>
          <w:lang w:val="en-GB"/>
        </w:rPr>
        <w:t>G</w:t>
      </w:r>
      <w:r w:rsidR="00E559ED">
        <w:rPr>
          <w:vertAlign w:val="subscript"/>
          <w:lang w:val="en-GB"/>
        </w:rPr>
        <w:t>n</w:t>
      </w:r>
      <w:proofErr w:type="spellEnd"/>
      <w:r w:rsidR="00E559ED">
        <w:rPr>
          <w:lang w:val="en-GB"/>
        </w:rPr>
        <w:t>(</w:t>
      </w:r>
      <w:r w:rsidR="00E559ED" w:rsidRPr="00AA0BB6">
        <w:rPr>
          <w:lang w:val="en-GB"/>
        </w:rPr>
        <w:t>β</w:t>
      </w:r>
      <w:r w:rsidR="00E559ED">
        <w:rPr>
          <w:lang w:val="en-GB"/>
        </w:rPr>
        <w:t xml:space="preserve">) = </w:t>
      </w:r>
      <w:proofErr w:type="spellStart"/>
      <w:r w:rsidR="00E559ED">
        <w:rPr>
          <w:lang w:val="en-GB"/>
        </w:rPr>
        <w:t>H</w:t>
      </w:r>
      <w:r w:rsidR="00E559ED">
        <w:rPr>
          <w:vertAlign w:val="subscript"/>
          <w:lang w:val="en-GB"/>
        </w:rPr>
        <w:t>n</w:t>
      </w:r>
      <w:proofErr w:type="spellEnd"/>
      <w:r w:rsidR="00E559ED">
        <w:rPr>
          <w:lang w:val="en-GB"/>
        </w:rPr>
        <w:t>(</w:t>
      </w:r>
      <w:r w:rsidR="00E559ED" w:rsidRPr="00AA0BB6">
        <w:rPr>
          <w:lang w:val="en-GB"/>
        </w:rPr>
        <w:t>β</w:t>
      </w:r>
      <w:r w:rsidR="00E559ED">
        <w:rPr>
          <w:lang w:val="en-GB"/>
        </w:rPr>
        <w:t>)</w:t>
      </w:r>
      <w:r w:rsidR="00C76A45">
        <w:rPr>
          <w:lang w:val="en-GB"/>
        </w:rPr>
        <w:t xml:space="preserve"> (which is equivalent to the model-based errors)</w:t>
      </w:r>
      <w:r>
        <w:rPr>
          <w:lang w:val="en-GB"/>
        </w:rPr>
        <w:t>. Since there is a discrepancy between the model-based SEs and other formulations, this raises concerns regarding the plausibility of the Poisson specification, indicating that other specifications may be more successful.</w:t>
      </w:r>
    </w:p>
    <w:p w14:paraId="3CC1A26C" w14:textId="4AAB208A" w:rsidR="005F6B5A" w:rsidRPr="003D06F6" w:rsidRDefault="005F6B5A" w:rsidP="005F6B5A">
      <w:pPr>
        <w:rPr>
          <w:sz w:val="36"/>
          <w:szCs w:val="36"/>
          <w:lang w:val="en-GB"/>
        </w:rPr>
      </w:pPr>
      <w:r>
        <w:rPr>
          <w:sz w:val="36"/>
          <w:szCs w:val="36"/>
          <w:lang w:val="en-GB"/>
        </w:rPr>
        <w:t>5</w:t>
      </w:r>
      <w:r>
        <w:rPr>
          <w:sz w:val="36"/>
          <w:szCs w:val="36"/>
          <w:lang w:val="en-GB"/>
        </w:rPr>
        <w:t>c</w:t>
      </w:r>
      <w:r>
        <w:rPr>
          <w:sz w:val="36"/>
          <w:szCs w:val="36"/>
          <w:lang w:val="en-GB"/>
        </w:rPr>
        <w:t>.</w:t>
      </w:r>
    </w:p>
    <w:p w14:paraId="5400C63B" w14:textId="72DEAC70" w:rsidR="005F6B5A" w:rsidRPr="00AA0BB6" w:rsidRDefault="005F6B5A" w:rsidP="000E191D">
      <w:pPr>
        <w:rPr>
          <w:lang w:val="en-GB"/>
        </w:rPr>
      </w:pPr>
      <w:r>
        <w:rPr>
          <w:lang w:val="en-GB"/>
        </w:rPr>
        <w:t xml:space="preserve">Based on the derivation within the PDF, the model with the relaxed variance assumption predicts that the ratio of robust to model-based standard errors is equal to the square root of phi. In a scenario where a Poisson model is correctly specified, phi should be exactly 1 (sampling variation can cause slight deviations), indicating correct dispersion and a variance that is adequately estimated via the conditional mean. Simply transforming the ratios generated by part 3c) and averaging over them, we obtain the phi estimate of 6.936 (available in notebook). As such, </w:t>
      </w:r>
      <w:r w:rsidR="00146F5C">
        <w:rPr>
          <w:lang w:val="en-GB"/>
        </w:rPr>
        <w:t>one</w:t>
      </w:r>
      <w:r>
        <w:rPr>
          <w:lang w:val="en-GB"/>
        </w:rPr>
        <w:t xml:space="preserve"> source of misspecification seems </w:t>
      </w:r>
      <w:r w:rsidR="00146F5C">
        <w:rPr>
          <w:lang w:val="en-GB"/>
        </w:rPr>
        <w:t>to be the observed</w:t>
      </w:r>
      <w:r>
        <w:rPr>
          <w:lang w:val="en-GB"/>
        </w:rPr>
        <w:t xml:space="preserve"> overdispersion – the conditional variance of Y given X is ~7 times larger than expected under a traditional Poisson specification. As such, the base specification fails to establish standard errors that can capture this behaviour, leading to overly narrow confidence intervals and an improper quantification of uncertainty.</w:t>
      </w:r>
      <w:r w:rsidR="00EE55C0">
        <w:rPr>
          <w:lang w:val="en-GB"/>
        </w:rPr>
        <w:t xml:space="preserve"> Moreover, this can inflate Wald statistics, overstating statistical significance.</w:t>
      </w:r>
      <w:r w:rsidR="008938FF">
        <w:rPr>
          <w:lang w:val="en-GB"/>
        </w:rPr>
        <w:t xml:space="preserve"> Overall, the main concern resides in the model’s inferential ability, providing overly optimistic metrics regarding its own performance.</w:t>
      </w:r>
    </w:p>
    <w:sectPr w:rsidR="005F6B5A" w:rsidRPr="00AA0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1D"/>
    <w:rsid w:val="000E191D"/>
    <w:rsid w:val="000E330D"/>
    <w:rsid w:val="00146F5C"/>
    <w:rsid w:val="00271092"/>
    <w:rsid w:val="003D06F6"/>
    <w:rsid w:val="005201C5"/>
    <w:rsid w:val="005F6B5A"/>
    <w:rsid w:val="008938FF"/>
    <w:rsid w:val="00907306"/>
    <w:rsid w:val="00AA0BB6"/>
    <w:rsid w:val="00BB13F4"/>
    <w:rsid w:val="00C76A45"/>
    <w:rsid w:val="00D16B88"/>
    <w:rsid w:val="00E559ED"/>
    <w:rsid w:val="00EE55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CE48"/>
  <w15:chartTrackingRefBased/>
  <w15:docId w15:val="{A0B2495F-6857-4AA4-ACAE-CC45C9C1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1D"/>
    <w:rPr>
      <w:rFonts w:eastAsiaTheme="majorEastAsia" w:cstheme="majorBidi"/>
      <w:color w:val="272727" w:themeColor="text1" w:themeTint="D8"/>
    </w:rPr>
  </w:style>
  <w:style w:type="paragraph" w:styleId="Title">
    <w:name w:val="Title"/>
    <w:basedOn w:val="Normal"/>
    <w:next w:val="Normal"/>
    <w:link w:val="TitleChar"/>
    <w:uiPriority w:val="10"/>
    <w:qFormat/>
    <w:rsid w:val="000E1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1D"/>
    <w:pPr>
      <w:spacing w:before="160"/>
      <w:jc w:val="center"/>
    </w:pPr>
    <w:rPr>
      <w:i/>
      <w:iCs/>
      <w:color w:val="404040" w:themeColor="text1" w:themeTint="BF"/>
    </w:rPr>
  </w:style>
  <w:style w:type="character" w:customStyle="1" w:styleId="QuoteChar">
    <w:name w:val="Quote Char"/>
    <w:basedOn w:val="DefaultParagraphFont"/>
    <w:link w:val="Quote"/>
    <w:uiPriority w:val="29"/>
    <w:rsid w:val="000E191D"/>
    <w:rPr>
      <w:i/>
      <w:iCs/>
      <w:color w:val="404040" w:themeColor="text1" w:themeTint="BF"/>
    </w:rPr>
  </w:style>
  <w:style w:type="paragraph" w:styleId="ListParagraph">
    <w:name w:val="List Paragraph"/>
    <w:basedOn w:val="Normal"/>
    <w:uiPriority w:val="34"/>
    <w:qFormat/>
    <w:rsid w:val="000E191D"/>
    <w:pPr>
      <w:ind w:left="720"/>
      <w:contextualSpacing/>
    </w:pPr>
  </w:style>
  <w:style w:type="character" w:styleId="IntenseEmphasis">
    <w:name w:val="Intense Emphasis"/>
    <w:basedOn w:val="DefaultParagraphFont"/>
    <w:uiPriority w:val="21"/>
    <w:qFormat/>
    <w:rsid w:val="000E191D"/>
    <w:rPr>
      <w:i/>
      <w:iCs/>
      <w:color w:val="0F4761" w:themeColor="accent1" w:themeShade="BF"/>
    </w:rPr>
  </w:style>
  <w:style w:type="paragraph" w:styleId="IntenseQuote">
    <w:name w:val="Intense Quote"/>
    <w:basedOn w:val="Normal"/>
    <w:next w:val="Normal"/>
    <w:link w:val="IntenseQuoteChar"/>
    <w:uiPriority w:val="30"/>
    <w:qFormat/>
    <w:rsid w:val="000E1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1D"/>
    <w:rPr>
      <w:i/>
      <w:iCs/>
      <w:color w:val="0F4761" w:themeColor="accent1" w:themeShade="BF"/>
    </w:rPr>
  </w:style>
  <w:style w:type="character" w:styleId="IntenseReference">
    <w:name w:val="Intense Reference"/>
    <w:basedOn w:val="DefaultParagraphFont"/>
    <w:uiPriority w:val="32"/>
    <w:qFormat/>
    <w:rsid w:val="000E1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McChum</dc:creator>
  <cp:keywords/>
  <dc:description/>
  <cp:lastModifiedBy>Jeff McChum</cp:lastModifiedBy>
  <cp:revision>9</cp:revision>
  <dcterms:created xsi:type="dcterms:W3CDTF">2026-09-11T01:00:00Z</dcterms:created>
  <dcterms:modified xsi:type="dcterms:W3CDTF">2026-09-11T04:44:00Z</dcterms:modified>
</cp:coreProperties>
</file>