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line="293" w:lineRule="auto"/>
      </w:pPr>
      <w:r>
        <w:rPr>
          <w:rFonts w:ascii="Calibri" w:hAnsi="Calibri"/>
          <w:b/>
          <w:i w:val="0"/>
          <w:color w:val="2A78D6"/>
          <w:sz w:val="19"/>
        </w:rPr>
        <w:t>INFORME FINAL · FARMALAXIA</w:t>
      </w:r>
    </w:p>
    <w:p>
      <w:pPr>
        <w:spacing w:after="360" w:line="252" w:lineRule="auto"/>
      </w:pPr>
      <w:r>
        <w:rPr>
          <w:rFonts w:ascii="Calibri" w:hAnsi="Calibri"/>
          <w:b/>
          <w:i w:val="0"/>
          <w:color w:val="10161D"/>
          <w:sz w:val="60"/>
        </w:rPr>
        <w:t>Un recomendador que le gana</w:t>
      </w:r>
      <w:r>
        <w:br/>
      </w:r>
      <w:r>
        <w:rPr>
          <w:rFonts w:ascii="Calibri" w:hAnsi="Calibri"/>
          <w:b/>
          <w:i w:val="0"/>
          <w:color w:val="10161D"/>
          <w:sz w:val="60"/>
        </w:rPr>
        <w:t>al que ya existe</w:t>
      </w:r>
    </w:p>
    <w:p>
      <w:pPr>
        <w:spacing w:before="0" w:after="440" w:line="293" w:lineRule="auto"/>
      </w:pPr>
      <w:r>
        <w:rPr>
          <w:rFonts w:ascii="Calibri" w:hAnsi="Calibri"/>
          <w:b w:val="0"/>
          <w:i w:val="0"/>
          <w:color w:val="4A5765"/>
          <w:sz w:val="25"/>
        </w:rPr>
        <w:t>Doce meses de preventa, 34.485 clientes y 428 productos recomendables. El sistema actual acierta en 49 de cada 100 clientes visitados; el modelo entrenado, en 59. Este informe explica cómo se midió, qué lo hace funcionar y qué falta para comprobarlo en la calle.</w:t>
      </w:r>
    </w:p>
    <w:p>
      <w:pPr>
        <w:spacing w:before="0" w:after="0" w:line="293" w:lineRule="auto"/>
      </w:pPr>
      <w:r>
        <w:rPr>
          <w:rFonts w:ascii="Consolas" w:hAnsi="Consolas"/>
          <w:b w:val="0"/>
          <w:i w:val="0"/>
          <w:color w:val="78848F"/>
          <w:sz w:val="18"/>
        </w:rPr>
        <w:t>2025-09-01 → 2026-08-27 · 5.328.903 renglones · Mes de prueba: julio 2026 · 24.578 clientes evaluados</w:t>
      </w:r>
      <w:r>
        <w:br w:type="page"/>
      </w:r>
    </w:p>
    <w:p>
      <w:pPr>
        <w:keepNext/>
        <w:spacing w:before="440" w:after="40" w:line="293" w:lineRule="auto"/>
      </w:pPr>
      <w:r>
        <w:rPr>
          <w:rFonts w:ascii="Consolas" w:hAnsi="Consolas"/>
          <w:b/>
          <w:i w:val="0"/>
          <w:color w:val="2A78D6"/>
          <w:sz w:val="18"/>
        </w:rPr>
        <w:t>01 · PUNTO DE PARTIDA</w:t>
      </w:r>
    </w:p>
    <w:p>
      <w:pPr>
        <w:pStyle w:val="Heading1"/>
        <w:spacing w:before="400" w:after="140"/>
      </w:pPr>
      <w:r>
        <w:rPr>
          <w:rFonts w:ascii="Calibri" w:hAnsi="Calibri"/>
          <w:b/>
          <w:i w:val="0"/>
          <w:color w:val="10161D"/>
          <w:sz w:val="34"/>
        </w:rPr>
        <w:t>Qué hay en la base de datos</w:t>
      </w:r>
    </w:p>
    <w:p>
      <w:pPr>
        <w:spacing w:before="0" w:after="240" w:line="293" w:lineRule="auto"/>
      </w:pPr>
      <w:r>
        <w:rPr>
          <w:rFonts w:ascii="Calibri" w:hAnsi="Calibri"/>
          <w:b w:val="0"/>
          <w:i w:val="0"/>
          <w:color w:val="10161D"/>
          <w:sz w:val="23"/>
        </w:rPr>
        <w:t xml:space="preserve">Un solo archivo de respaldo de SQL Server con </w:t>
      </w:r>
      <w:r>
        <w:rPr>
          <w:rFonts w:ascii="Calibri" w:hAnsi="Calibri"/>
          <w:b/>
          <w:i w:val="0"/>
          <w:color w:val="10161D"/>
          <w:sz w:val="23"/>
        </w:rPr>
        <w:t>una tabla</w:t>
      </w:r>
      <w:r>
        <w:rPr>
          <w:rFonts w:ascii="Calibri" w:hAnsi="Calibri"/>
          <w:b w:val="0"/>
          <w:i w:val="0"/>
          <w:color w:val="10161D"/>
          <w:sz w:val="23"/>
        </w:rPr>
        <w:t xml:space="preserve">, </w:t>
      </w:r>
      <w:r>
        <w:rPr>
          <w:rFonts w:ascii="Calibri" w:hAnsi="Calibri"/>
          <w:b/>
          <w:i w:val="0"/>
          <w:color w:val="10161D"/>
          <w:sz w:val="23"/>
        </w:rPr>
        <w:t>5.328.903 renglones de venta</w:t>
      </w:r>
      <w:r>
        <w:rPr>
          <w:rFonts w:ascii="Calibri" w:hAnsi="Calibri"/>
          <w:b w:val="0"/>
          <w:i w:val="0"/>
          <w:color w:val="10161D"/>
          <w:sz w:val="23"/>
        </w:rPr>
        <w:t xml:space="preserve"> y doce meses exactos de preventa —del 1 de septiembre de 2025 al 27 de agosto de 2026— en dos centros de distribución.</w:t>
      </w:r>
    </w:p>
    <w:tbl>
      <w:tblPr>
        <w:tblW w:type="pct" w:w="500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ayout w:type="fixed"/>
        <w:tblCellMar>
          <w:top w:w="40" w:type="dxa"/>
          <w:left w:w="40" w:type="dxa"/>
          <w:bottom w:w="40" w:type="dxa"/>
          <w:right w:w="40" w:type="dxa"/>
        </w:tblCellMar>
        <w:tblLook w:firstColumn="1" w:firstRow="1" w:lastColumn="0" w:lastRow="0" w:noHBand="0" w:noVBand="1" w:val="04A0"/>
      </w:tblPr>
      <w:tblGrid>
        <w:gridCol w:w="1860"/>
        <w:gridCol w:w="1860"/>
        <w:gridCol w:w="1860"/>
        <w:gridCol w:w="1860"/>
        <w:gridCol w:w="1860"/>
      </w:tblGrid>
      <w:tr>
        <w:trPr>
          <w:cantSplit/>
        </w:trPr>
        <w:tc>
          <w:tcPr>
            <w:tcW w:type="dxa" w:w="1860"/>
          </w:tcPr>
          <w:p>
            <w:pPr>
              <w:spacing w:after="0"/>
            </w:pPr>
            <w:r>
              <w:rPr>
                <w:rFonts w:ascii="Consolas" w:hAnsi="Consolas"/>
                <w:b/>
                <w:i w:val="0"/>
                <w:color w:val="10161D"/>
                <w:sz w:val="30"/>
              </w:rPr>
              <w:t>1.477.791</w:t>
            </w:r>
          </w:p>
        </w:tc>
        <w:tc>
          <w:tcPr>
            <w:tcW w:type="dxa" w:w="1860"/>
          </w:tcPr>
          <w:p>
            <w:pPr>
              <w:spacing w:after="0"/>
            </w:pPr>
            <w:r>
              <w:rPr>
                <w:rFonts w:ascii="Consolas" w:hAnsi="Consolas"/>
                <w:b/>
                <w:i w:val="0"/>
                <w:color w:val="10161D"/>
                <w:sz w:val="30"/>
              </w:rPr>
              <w:t>890.471</w:t>
            </w:r>
          </w:p>
        </w:tc>
        <w:tc>
          <w:tcPr>
            <w:tcW w:type="dxa" w:w="1860"/>
          </w:tcPr>
          <w:p>
            <w:pPr>
              <w:spacing w:after="0"/>
            </w:pPr>
            <w:r>
              <w:rPr>
                <w:rFonts w:ascii="Consolas" w:hAnsi="Consolas"/>
                <w:b/>
                <w:i w:val="0"/>
                <w:color w:val="2A78D6"/>
                <w:sz w:val="30"/>
              </w:rPr>
              <w:t>60,3 %</w:t>
            </w:r>
          </w:p>
        </w:tc>
        <w:tc>
          <w:tcPr>
            <w:tcW w:type="dxa" w:w="1860"/>
          </w:tcPr>
          <w:p>
            <w:pPr>
              <w:spacing w:after="0"/>
            </w:pPr>
            <w:r>
              <w:rPr>
                <w:rFonts w:ascii="Consolas" w:hAnsi="Consolas"/>
                <w:b/>
                <w:i w:val="0"/>
                <w:color w:val="10161D"/>
                <w:sz w:val="30"/>
              </w:rPr>
              <w:t>34.485</w:t>
            </w:r>
          </w:p>
        </w:tc>
        <w:tc>
          <w:tcPr>
            <w:tcW w:type="dxa" w:w="1860"/>
          </w:tcPr>
          <w:p>
            <w:pPr>
              <w:spacing w:after="0"/>
            </w:pPr>
            <w:r>
              <w:rPr>
                <w:rFonts w:ascii="Consolas" w:hAnsi="Consolas"/>
                <w:b/>
                <w:i w:val="0"/>
                <w:color w:val="10161D"/>
                <w:sz w:val="30"/>
              </w:rPr>
              <w:t>538</w:t>
            </w:r>
          </w:p>
        </w:tc>
      </w:tr>
      <w:tr>
        <w:trPr>
          <w:cantSplit/>
        </w:trPr>
        <w:tc>
          <w:tcPr>
            <w:tcW w:type="dxa" w:w="1860"/>
          </w:tcPr>
          <w:p>
            <w:pPr>
              <w:spacing w:after="0"/>
            </w:pPr>
            <w:r>
              <w:rPr>
                <w:rFonts w:ascii="Calibri" w:hAnsi="Calibri"/>
                <w:b w:val="0"/>
                <w:i w:val="0"/>
                <w:color w:val="78848F"/>
                <w:sz w:val="16"/>
              </w:rPr>
              <w:t>visitas de preventista</w:t>
            </w:r>
          </w:p>
        </w:tc>
        <w:tc>
          <w:tcPr>
            <w:tcW w:type="dxa" w:w="1860"/>
          </w:tcPr>
          <w:p>
            <w:pPr>
              <w:spacing w:after="0"/>
            </w:pPr>
            <w:r>
              <w:rPr>
                <w:rFonts w:ascii="Calibri" w:hAnsi="Calibri"/>
                <w:b w:val="0"/>
                <w:i w:val="0"/>
                <w:color w:val="78848F"/>
                <w:sz w:val="16"/>
              </w:rPr>
              <w:t>terminaron en pedido</w:t>
            </w:r>
          </w:p>
        </w:tc>
        <w:tc>
          <w:tcPr>
            <w:tcW w:type="dxa" w:w="1860"/>
          </w:tcPr>
          <w:p>
            <w:pPr>
              <w:spacing w:after="0"/>
            </w:pPr>
            <w:r>
              <w:rPr>
                <w:rFonts w:ascii="Calibri" w:hAnsi="Calibri"/>
                <w:b w:val="0"/>
                <w:i w:val="0"/>
                <w:color w:val="78848F"/>
                <w:sz w:val="16"/>
              </w:rPr>
              <w:t>de las visitas convierten</w:t>
            </w:r>
          </w:p>
        </w:tc>
        <w:tc>
          <w:tcPr>
            <w:tcW w:type="dxa" w:w="1860"/>
          </w:tcPr>
          <w:p>
            <w:pPr>
              <w:spacing w:after="0"/>
            </w:pPr>
            <w:r>
              <w:rPr>
                <w:rFonts w:ascii="Calibri" w:hAnsi="Calibri"/>
                <w:b w:val="0"/>
                <w:i w:val="0"/>
                <w:color w:val="78848F"/>
                <w:sz w:val="16"/>
              </w:rPr>
              <w:t>clientes</w:t>
            </w:r>
          </w:p>
        </w:tc>
        <w:tc>
          <w:tcPr>
            <w:tcW w:type="dxa" w:w="1860"/>
          </w:tcPr>
          <w:p>
            <w:pPr>
              <w:spacing w:after="0"/>
            </w:pPr>
            <w:r>
              <w:rPr>
                <w:rFonts w:ascii="Calibri" w:hAnsi="Calibri"/>
                <w:b w:val="0"/>
                <w:i w:val="0"/>
                <w:color w:val="78848F"/>
                <w:sz w:val="16"/>
              </w:rPr>
              <w:t>productos reales</w:t>
            </w:r>
          </w:p>
        </w:tc>
      </w:tr>
    </w:tbl>
    <w:p>
      <w:pPr>
        <w:spacing w:before="0" w:after="120" w:line="293" w:lineRule="auto"/>
      </w:pPr>
    </w:p>
    <w:tbl>
      <w:tblPr>
        <w:tblW w:type="pct" w:w="5000"/>
        <w:tblBorders>
          <w:top w:val="single" w:sz="4" w:space="0" w:color="C5E3D7"/>
          <w:left w:val="single" w:sz="18" w:space="0" w:color="2A78D6"/>
          <w:bottom w:val="single" w:sz="4" w:space="0" w:color="C5E3D7"/>
          <w:right w:val="single" w:sz="4" w:space="0" w:color="C5E3D7"/>
          <w:insideH w:val="none" w:sz="0" w:space="0" w:color="auto"/>
          <w:insideV w:val="none" w:sz="0" w:space="0" w:color="auto"/>
        </w:tblBorders>
        <w:tblCellMar>
          <w:top w:w="140" w:type="dxa"/>
          <w:left w:w="180" w:type="dxa"/>
          <w:bottom w:w="140" w:type="dxa"/>
          <w:right w:w="180" w:type="dxa"/>
        </w:tblCellMar>
        <w:tblLook w:firstColumn="1" w:firstRow="1" w:lastColumn="0" w:lastRow="0" w:noHBand="0" w:noVBand="1" w:val="04A0"/>
      </w:tblPr>
      <w:tblGrid>
        <w:gridCol w:w="9518"/>
      </w:tblGrid>
      <w:tr>
        <w:trPr>
          <w:cantSplit/>
        </w:trPr>
        <w:tc>
          <w:tcPr>
            <w:tcW w:type="dxa" w:w="9518"/>
            <w:shd w:val="clear" w:fill="F0F7F4"/>
          </w:tcPr>
          <w:p>
            <w:pPr>
              <w:spacing w:after="100"/>
            </w:pPr>
            <w:r>
              <w:rPr>
                <w:rFonts w:ascii="Calibri" w:hAnsi="Calibri"/>
                <w:b/>
                <w:i w:val="0"/>
                <w:color w:val="10161D"/>
                <w:sz w:val="17"/>
              </w:rPr>
              <w:t>LO QUE HAY QUE SABER DE ENTRADA</w:t>
            </w:r>
          </w:p>
          <w:p>
            <w:pPr>
              <w:spacing w:after="100" w:line="288" w:lineRule="auto"/>
            </w:pPr>
            <w:r>
              <w:rPr>
                <w:rFonts w:ascii="Calibri" w:hAnsi="Calibri"/>
                <w:b w:val="0"/>
                <w:i w:val="0"/>
                <w:color w:val="4A5765"/>
                <w:sz w:val="20"/>
              </w:rPr>
              <w:t xml:space="preserve">El catálogo </w:t>
            </w:r>
            <w:r>
              <w:rPr>
                <w:rFonts w:ascii="Calibri" w:hAnsi="Calibri"/>
                <w:b/>
                <w:i w:val="0"/>
                <w:color w:val="4A5765"/>
                <w:sz w:val="20"/>
              </w:rPr>
              <w:t>aparenta 883 productos, pero solo 538 son mercancía</w:t>
            </w:r>
            <w:r>
              <w:rPr>
                <w:rFonts w:ascii="Calibri" w:hAnsi="Calibri"/>
                <w:b w:val="0"/>
                <w:i w:val="0"/>
                <w:color w:val="4A5765"/>
                <w:sz w:val="20"/>
              </w:rPr>
              <w:t>. Los otros 345 son registros de mecánica promocional con importe cero: no mueven un peso, pero ocupan el 19,8 % de los renglones.</w:t>
            </w:r>
          </w:p>
          <w:p>
            <w:pPr>
              <w:spacing w:after="0" w:line="288" w:lineRule="auto"/>
            </w:pPr>
            <w:r>
              <w:rPr>
                <w:rFonts w:ascii="Calibri" w:hAnsi="Calibri"/>
                <w:b w:val="0"/>
                <w:i w:val="0"/>
                <w:color w:val="4A5765"/>
                <w:sz w:val="20"/>
              </w:rPr>
              <w:t xml:space="preserve">Descontando además exhibidores y productos sin venta reciente, quedan </w:t>
            </w:r>
            <w:r>
              <w:rPr>
                <w:rFonts w:ascii="Calibri" w:hAnsi="Calibri"/>
                <w:b/>
                <w:i w:val="0"/>
                <w:color w:val="4A5765"/>
                <w:sz w:val="20"/>
              </w:rPr>
              <w:t>428 productos que tiene sentido recomendar</w:t>
            </w:r>
            <w:r>
              <w:rPr>
                <w:rFonts w:ascii="Calibri" w:hAnsi="Calibri"/>
                <w:b w:val="0"/>
                <w:i w:val="0"/>
                <w:color w:val="4A5765"/>
                <w:sz w:val="20"/>
              </w:rPr>
              <w:t>. Cualquier análisis que no haga esa limpieza cuenta mal.</w:t>
            </w:r>
          </w:p>
        </w:tc>
      </w:tr>
    </w:tbl>
    <w:p>
      <w:pPr>
        <w:spacing w:before="0" w:after="120" w:line="293" w:lineRule="auto"/>
      </w:pPr>
    </w:p>
    <w:tbl>
      <w:tblPr>
        <w:tblW w:type="pct" w:w="5000"/>
        <w:tblBorders>
          <w:top w:val="single" w:sz="4" w:space="0" w:color="F2D3BF"/>
          <w:left w:val="single" w:sz="18" w:space="0" w:color="2A78D6"/>
          <w:bottom w:val="single" w:sz="4" w:space="0" w:color="F2D3BF"/>
          <w:right w:val="single" w:sz="4" w:space="0" w:color="F2D3BF"/>
          <w:insideH w:val="none" w:sz="0" w:space="0" w:color="auto"/>
          <w:insideV w:val="none" w:sz="0" w:space="0" w:color="auto"/>
        </w:tblBorders>
        <w:tblCellMar>
          <w:top w:w="140" w:type="dxa"/>
          <w:left w:w="180" w:type="dxa"/>
          <w:bottom w:w="140" w:type="dxa"/>
          <w:right w:w="180" w:type="dxa"/>
        </w:tblCellMar>
        <w:tblLook w:firstColumn="1" w:firstRow="1" w:lastColumn="0" w:lastRow="0" w:noHBand="0" w:noVBand="1" w:val="04A0"/>
      </w:tblPr>
      <w:tblGrid>
        <w:gridCol w:w="9518"/>
      </w:tblGrid>
      <w:tr>
        <w:trPr>
          <w:cantSplit/>
        </w:trPr>
        <w:tc>
          <w:tcPr>
            <w:tcW w:type="dxa" w:w="9518"/>
            <w:shd w:val="clear" w:fill="FDF4EF"/>
          </w:tcPr>
          <w:p>
            <w:pPr>
              <w:spacing w:after="100"/>
            </w:pPr>
            <w:r>
              <w:rPr>
                <w:rFonts w:ascii="Calibri" w:hAnsi="Calibri"/>
                <w:b/>
                <w:i w:val="0"/>
                <w:color w:val="10161D"/>
                <w:sz w:val="17"/>
              </w:rPr>
              <w:t>ADVERTENCIAS SOBRE LOS DATOS</w:t>
            </w:r>
          </w:p>
          <w:p>
            <w:pPr>
              <w:pStyle w:val="ListBullet"/>
              <w:spacing w:after="80" w:line="283" w:lineRule="auto"/>
            </w:pPr>
            <w:r>
              <w:rPr>
                <w:rFonts w:ascii="Calibri" w:hAnsi="Calibri"/>
                <w:b/>
                <w:i w:val="0"/>
                <w:color w:val="4A5765"/>
                <w:sz w:val="20"/>
              </w:rPr>
              <w:t>El primer y el último mes están incompletos.</w:t>
            </w:r>
            <w:r>
              <w:rPr>
                <w:rFonts w:ascii="Calibri" w:hAnsi="Calibri"/>
                <w:b w:val="0"/>
                <w:i w:val="0"/>
                <w:color w:val="4A5765"/>
                <w:sz w:val="20"/>
              </w:rPr>
              <w:t xml:space="preserve"> Septiembre de 2025 es donde arranca el archivo; agosto de 2026 corta un jueves y le faltan viernes y sábado.</w:t>
            </w:r>
          </w:p>
          <w:p>
            <w:pPr>
              <w:pStyle w:val="ListBullet"/>
              <w:spacing w:after="80" w:line="283" w:lineRule="auto"/>
            </w:pPr>
            <w:r>
              <w:rPr>
                <w:rFonts w:ascii="Calibri" w:hAnsi="Calibri"/>
                <w:b/>
                <w:i w:val="0"/>
                <w:color w:val="4A5765"/>
                <w:sz w:val="20"/>
              </w:rPr>
              <w:t>Noviembre de 2025 no registró las visitas sin pedido</w:t>
            </w:r>
            <w:r>
              <w:rPr>
                <w:rFonts w:ascii="Calibri" w:hAnsi="Calibri"/>
                <w:b w:val="0"/>
                <w:i w:val="0"/>
                <w:color w:val="4A5765"/>
                <w:sz w:val="20"/>
              </w:rPr>
              <w:t>, así que aparenta 100 % de efectividad.</w:t>
            </w:r>
          </w:p>
          <w:p>
            <w:pPr>
              <w:pStyle w:val="ListBullet"/>
              <w:spacing w:after="80" w:line="283" w:lineRule="auto"/>
            </w:pPr>
            <w:r>
              <w:rPr>
                <w:rFonts w:ascii="Calibri" w:hAnsi="Calibri"/>
                <w:b/>
                <w:i w:val="0"/>
                <w:color w:val="4A5765"/>
                <w:sz w:val="20"/>
              </w:rPr>
              <w:t>Junio de 2026 no es temporada alta:</w:t>
            </w:r>
            <w:r>
              <w:rPr>
                <w:rFonts w:ascii="Calibri" w:hAnsi="Calibri"/>
                <w:b w:val="0"/>
                <w:i w:val="0"/>
                <w:color w:val="4A5765"/>
                <w:sz w:val="20"/>
              </w:rPr>
              <w:t xml:space="preserve"> se abrieron 24 rutas de preventa.</w:t>
            </w:r>
          </w:p>
          <w:p>
            <w:pPr>
              <w:pStyle w:val="ListBullet"/>
              <w:spacing w:after="0" w:line="283" w:lineRule="auto"/>
            </w:pPr>
            <w:r>
              <w:rPr>
                <w:rFonts w:ascii="Calibri" w:hAnsi="Calibri"/>
                <w:b/>
                <w:i w:val="0"/>
                <w:color w:val="4A5765"/>
                <w:sz w:val="20"/>
              </w:rPr>
              <w:t>El código de promoción no discrimina:</w:t>
            </w:r>
            <w:r>
              <w:rPr>
                <w:rFonts w:ascii="Calibri" w:hAnsi="Calibri"/>
                <w:b w:val="0"/>
                <w:i w:val="0"/>
                <w:color w:val="4A5765"/>
                <w:sz w:val="20"/>
              </w:rPr>
              <w:t xml:space="preserve"> viene lleno en casi todos los renglones.</w:t>
            </w:r>
          </w:p>
        </w:tc>
      </w:tr>
    </w:tbl>
    <w:p>
      <w:pPr>
        <w:spacing w:before="0" w:after="120" w:line="293" w:lineRule="auto"/>
      </w:pPr>
    </w:p>
    <w:p>
      <w:pPr>
        <w:keepNext/>
        <w:spacing w:before="440" w:after="40" w:line="293" w:lineRule="auto"/>
      </w:pPr>
      <w:r>
        <w:rPr>
          <w:rFonts w:ascii="Consolas" w:hAnsi="Consolas"/>
          <w:b/>
          <w:i w:val="0"/>
          <w:color w:val="2A78D6"/>
          <w:sz w:val="18"/>
        </w:rPr>
        <w:t>02 · LO QUE ENCONTRAMOS EN LOS DATOS</w:t>
      </w:r>
    </w:p>
    <w:p>
      <w:pPr>
        <w:pStyle w:val="Heading1"/>
        <w:spacing w:before="400" w:after="140"/>
      </w:pPr>
      <w:r>
        <w:rPr>
          <w:rFonts w:ascii="Calibri" w:hAnsi="Calibri"/>
          <w:b/>
          <w:i w:val="0"/>
          <w:color w:val="10161D"/>
          <w:sz w:val="34"/>
        </w:rPr>
        <w:t>Cinco cosas que cambian cómo hay que abordar el problema</w:t>
      </w:r>
    </w:p>
    <w:p>
      <w:pPr>
        <w:spacing w:before="0" w:after="240" w:line="293" w:lineRule="auto"/>
      </w:pPr>
      <w:r>
        <w:rPr>
          <w:rFonts w:ascii="Calibri" w:hAnsi="Calibri"/>
          <w:b w:val="0"/>
          <w:i w:val="0"/>
          <w:color w:val="10161D"/>
          <w:sz w:val="23"/>
        </w:rPr>
        <w:t>El análisis exploratorio completo —comportamiento de clientes, estructura del catálogo, afinidades y calidad de los datos— está en un documento aparte. Aquí va solo lo que condiciona el modelo.</w:t>
      </w:r>
    </w:p>
    <w:p>
      <w:pPr>
        <w:pStyle w:val="Heading3"/>
        <w:spacing w:before="260" w:after="80"/>
      </w:pPr>
      <w:r>
        <w:rPr>
          <w:rFonts w:ascii="Calibri" w:hAnsi="Calibri"/>
          <w:b/>
          <w:i w:val="0"/>
          <w:color w:val="2A78D6"/>
          <w:sz w:val="23"/>
        </w:rPr>
        <w:t>El «cuándo» ya está resuelto</w:t>
      </w:r>
    </w:p>
    <w:p>
      <w:pPr>
        <w:spacing w:before="0" w:after="160" w:line="293" w:lineRule="auto"/>
      </w:pPr>
      <w:r>
        <w:rPr>
          <w:rFonts w:ascii="Calibri" w:hAnsi="Calibri"/>
          <w:b w:val="0"/>
          <w:i w:val="0"/>
          <w:color w:val="4A5765"/>
          <w:sz w:val="20"/>
        </w:rPr>
        <w:t xml:space="preserve">El 48,6 % de los intervalos entre compras son de exactamente siete días: el cliente compra el día que le toca visita. </w:t>
      </w:r>
      <w:r>
        <w:rPr>
          <w:rFonts w:ascii="Calibri" w:hAnsi="Calibri"/>
          <w:b/>
          <w:i w:val="0"/>
          <w:color w:val="4A5765"/>
          <w:sz w:val="20"/>
        </w:rPr>
        <w:t>No hay que predecir el momento, sino qué ofrecer cuando llegue.</w:t>
      </w:r>
    </w:p>
    <w:p>
      <w:pPr>
        <w:pStyle w:val="Heading3"/>
        <w:spacing w:before="260" w:after="80"/>
      </w:pPr>
      <w:r>
        <w:rPr>
          <w:rFonts w:ascii="Calibri" w:hAnsi="Calibri"/>
          <w:b/>
          <w:i w:val="0"/>
          <w:color w:val="2A78D6"/>
          <w:sz w:val="23"/>
        </w:rPr>
        <w:t>El catálogo real es la mitad</w:t>
      </w:r>
    </w:p>
    <w:p>
      <w:pPr>
        <w:spacing w:before="0" w:after="160" w:line="293" w:lineRule="auto"/>
      </w:pPr>
      <w:r>
        <w:rPr>
          <w:rFonts w:ascii="Calibri" w:hAnsi="Calibri"/>
          <w:b w:val="0"/>
          <w:i w:val="0"/>
          <w:color w:val="4A5765"/>
          <w:sz w:val="20"/>
        </w:rPr>
        <w:t xml:space="preserve">De los 883 códigos, </w:t>
      </w:r>
      <w:r>
        <w:rPr>
          <w:rFonts w:ascii="Calibri" w:hAnsi="Calibri"/>
          <w:b/>
          <w:i w:val="0"/>
          <w:color w:val="4A5765"/>
          <w:sz w:val="20"/>
        </w:rPr>
        <w:t>538 son mercancía</w:t>
      </w:r>
      <w:r>
        <w:rPr>
          <w:rFonts w:ascii="Calibri" w:hAnsi="Calibri"/>
          <w:b w:val="0"/>
          <w:i w:val="0"/>
          <w:color w:val="4A5765"/>
          <w:sz w:val="20"/>
        </w:rPr>
        <w:t xml:space="preserve">; el resto son registros de promoción con importe cero. Descontando exhibidores y productos sin venta reciente quedan </w:t>
      </w:r>
      <w:r>
        <w:rPr>
          <w:rFonts w:ascii="Calibri" w:hAnsi="Calibri"/>
          <w:b/>
          <w:i w:val="0"/>
          <w:color w:val="4A5765"/>
          <w:sz w:val="20"/>
        </w:rPr>
        <w:t>428 recomendables</w:t>
      </w:r>
      <w:r>
        <w:rPr>
          <w:rFonts w:ascii="Calibri" w:hAnsi="Calibri"/>
          <w:b w:val="0"/>
          <w:i w:val="0"/>
          <w:color w:val="4A5765"/>
          <w:sz w:val="20"/>
        </w:rPr>
        <w:t>.</w:t>
      </w:r>
    </w:p>
    <w:p>
      <w:pPr>
        <w:pStyle w:val="Heading3"/>
        <w:spacing w:before="260" w:after="80"/>
      </w:pPr>
      <w:r>
        <w:rPr>
          <w:rFonts w:ascii="Calibri" w:hAnsi="Calibri"/>
          <w:b/>
          <w:i w:val="0"/>
          <w:color w:val="2A78D6"/>
          <w:sz w:val="23"/>
        </w:rPr>
        <w:t>La zona sí importa, y es la ruta</w:t>
      </w:r>
    </w:p>
    <w:p>
      <w:pPr>
        <w:spacing w:before="0" w:after="160" w:line="293" w:lineRule="auto"/>
      </w:pPr>
      <w:r>
        <w:rPr>
          <w:rFonts w:ascii="Calibri" w:hAnsi="Calibri"/>
          <w:b w:val="0"/>
          <w:i w:val="0"/>
          <w:color w:val="4A5765"/>
          <w:sz w:val="20"/>
        </w:rPr>
        <w:t xml:space="preserve">El top-50 de la ruta cubre el 58,0 % de lo que compra un cliente, contra 37,8 % de la lista global. Y </w:t>
      </w:r>
      <w:r>
        <w:rPr>
          <w:rFonts w:ascii="Calibri" w:hAnsi="Calibri"/>
          <w:b/>
          <w:i w:val="0"/>
          <w:color w:val="4A5765"/>
          <w:sz w:val="20"/>
        </w:rPr>
        <w:t>no es surtido de almacén: el CEDIS no explica nada</w:t>
      </w:r>
      <w:r>
        <w:rPr>
          <w:rFonts w:ascii="Calibri" w:hAnsi="Calibri"/>
          <w:b w:val="0"/>
          <w:i w:val="0"/>
          <w:color w:val="4A5765"/>
          <w:sz w:val="20"/>
        </w:rPr>
        <w:t xml:space="preserve"> (39,7 %).</w:t>
      </w:r>
    </w:p>
    <w:p>
      <w:pPr>
        <w:pStyle w:val="Heading3"/>
        <w:spacing w:before="260" w:after="80"/>
      </w:pPr>
      <w:r>
        <w:rPr>
          <w:rFonts w:ascii="Calibri" w:hAnsi="Calibri"/>
          <w:b/>
          <w:i w:val="0"/>
          <w:color w:val="2A78D6"/>
          <w:sz w:val="23"/>
        </w:rPr>
        <w:t>La afinidad es de línea de sabor</w:t>
      </w:r>
    </w:p>
    <w:p>
      <w:pPr>
        <w:spacing w:before="0" w:after="160" w:line="293" w:lineRule="auto"/>
      </w:pPr>
      <w:r>
        <w:rPr>
          <w:rFonts w:ascii="Calibri" w:hAnsi="Calibri"/>
          <w:b w:val="0"/>
          <w:i w:val="0"/>
          <w:color w:val="4A5765"/>
          <w:sz w:val="20"/>
        </w:rPr>
        <w:t>Quien lleva un sabor se lleva los demás. Sobre 890.455 canastas, los pares más frecuentes son variantes del mismo producto — una pista fácil de explotar y de explicar al preventista.</w:t>
      </w:r>
    </w:p>
    <w:p>
      <w:pPr>
        <w:pStyle w:val="Heading3"/>
        <w:spacing w:before="260" w:after="80"/>
      </w:pPr>
      <w:r>
        <w:rPr>
          <w:rFonts w:ascii="Calibri" w:hAnsi="Calibri"/>
          <w:b/>
          <w:i w:val="0"/>
          <w:color w:val="2A78D6"/>
          <w:sz w:val="23"/>
        </w:rPr>
        <w:t>La oportunidad más cercana ya está en casa</w:t>
      </w:r>
    </w:p>
    <w:p>
      <w:pPr>
        <w:spacing w:before="0" w:after="160" w:line="293" w:lineRule="auto"/>
      </w:pPr>
      <w:r>
        <w:rPr>
          <w:rFonts w:ascii="Calibri" w:hAnsi="Calibri"/>
          <w:b w:val="0"/>
          <w:i w:val="0"/>
          <w:color w:val="4A5765"/>
          <w:sz w:val="20"/>
        </w:rPr>
        <w:t xml:space="preserve">Un cliente ha comprado 31 productos distintos en el año pero pide unos 9,6 al mes. Son </w:t>
      </w:r>
      <w:r>
        <w:rPr>
          <w:rFonts w:ascii="Calibri" w:hAnsi="Calibri"/>
          <w:b/>
          <w:i w:val="0"/>
          <w:color w:val="4A5765"/>
          <w:sz w:val="20"/>
        </w:rPr>
        <w:t>24,2 productos que ya conoce y no está pidiendo</w:t>
      </w:r>
      <w:r>
        <w:rPr>
          <w:rFonts w:ascii="Calibri" w:hAnsi="Calibri"/>
          <w:b w:val="0"/>
          <w:i w:val="0"/>
          <w:color w:val="4A5765"/>
          <w:sz w:val="20"/>
        </w:rPr>
        <w:t>.</w:t>
      </w:r>
    </w:p>
    <w:tbl>
      <w:tblPr>
        <w:tblW w:type="pct" w:w="5000"/>
        <w:tblBorders>
          <w:top w:val="single" w:sz="4" w:space="0" w:color="D9DFE6"/>
          <w:left w:val="single" w:sz="18" w:space="0" w:color="2A78D6"/>
          <w:bottom w:val="single" w:sz="4" w:space="0" w:color="D9DFE6"/>
          <w:right w:val="single" w:sz="4" w:space="0" w:color="D9DFE6"/>
          <w:insideH w:val="none" w:sz="0" w:space="0" w:color="auto"/>
          <w:insideV w:val="none" w:sz="0" w:space="0" w:color="auto"/>
        </w:tblBorders>
        <w:tblCellMar>
          <w:top w:w="140" w:type="dxa"/>
          <w:left w:w="180" w:type="dxa"/>
          <w:bottom w:w="140" w:type="dxa"/>
          <w:right w:w="180" w:type="dxa"/>
        </w:tblCellMar>
        <w:tblLook w:firstColumn="1" w:firstRow="1" w:lastColumn="0" w:lastRow="0" w:noHBand="0" w:noVBand="1" w:val="04A0"/>
      </w:tblPr>
      <w:tblGrid>
        <w:gridCol w:w="9518"/>
      </w:tblGrid>
      <w:tr>
        <w:trPr>
          <w:cantSplit/>
        </w:trPr>
        <w:tc>
          <w:tcPr>
            <w:tcW w:type="dxa" w:w="9518"/>
            <w:shd w:val="clear" w:fill="EEF1F5"/>
          </w:tcPr>
          <w:p>
            <w:pPr>
              <w:spacing w:after="80"/>
            </w:pPr>
            <w:r>
              <w:rPr>
                <w:rFonts w:ascii="Calibri" w:hAnsi="Calibri"/>
                <w:b/>
                <w:i w:val="0"/>
                <w:color w:val="10161D"/>
                <w:sz w:val="22"/>
              </w:rPr>
              <w:t>Análisis exploratorio completo</w:t>
            </w:r>
          </w:p>
          <w:p>
            <w:pPr>
              <w:spacing w:after="100"/>
            </w:pPr>
            <w:r>
              <w:rPr>
                <w:rFonts w:ascii="Calibri" w:hAnsi="Calibri"/>
                <w:b w:val="0"/>
                <w:i w:val="0"/>
                <w:color w:val="4A5765"/>
                <w:sz w:val="20"/>
              </w:rPr>
              <w:t>Doce meses de preventa en detalle: ritmo de compra, segmentos de cliente, estructura del catálogo, concentración, afinidades, calidad de los datos y sus advertencias. Cada bloque cierra con una lectura en lenguaje llano.</w:t>
            </w:r>
          </w:p>
          <w:p>
            <w:pPr>
              <w:spacing w:after="0"/>
            </w:pPr>
            <w:r>
              <w:rPr>
                <w:rFonts w:ascii="Consolas" w:hAnsi="Consolas"/>
                <w:b w:val="0"/>
                <w:i w:val="0"/>
                <w:color w:val="2A78D6"/>
                <w:sz w:val="18"/>
              </w:rPr>
              <w:t>https://storage.cloud.google.com/farmalaxia-informe/analisis-exploratorio.html</w:t>
            </w:r>
          </w:p>
        </w:tc>
      </w:tr>
    </w:tbl>
    <w:p>
      <w:pPr>
        <w:spacing w:before="0" w:after="120" w:line="293" w:lineRule="auto"/>
      </w:pPr>
    </w:p>
    <w:tbl>
      <w:tblPr>
        <w:tblW w:type="pct" w:w="5000"/>
        <w:tblBorders>
          <w:top w:val="single" w:sz="4" w:space="0" w:color="F2D3BF"/>
          <w:left w:val="single" w:sz="18" w:space="0" w:color="2A78D6"/>
          <w:bottom w:val="single" w:sz="4" w:space="0" w:color="F2D3BF"/>
          <w:right w:val="single" w:sz="4" w:space="0" w:color="F2D3BF"/>
          <w:insideH w:val="none" w:sz="0" w:space="0" w:color="auto"/>
          <w:insideV w:val="none" w:sz="0" w:space="0" w:color="auto"/>
        </w:tblBorders>
        <w:tblCellMar>
          <w:top w:w="140" w:type="dxa"/>
          <w:left w:w="180" w:type="dxa"/>
          <w:bottom w:w="140" w:type="dxa"/>
          <w:right w:w="180" w:type="dxa"/>
        </w:tblCellMar>
        <w:tblLook w:firstColumn="1" w:firstRow="1" w:lastColumn="0" w:lastRow="0" w:noHBand="0" w:noVBand="1" w:val="04A0"/>
      </w:tblPr>
      <w:tblGrid>
        <w:gridCol w:w="9518"/>
      </w:tblGrid>
      <w:tr>
        <w:trPr>
          <w:cantSplit/>
        </w:trPr>
        <w:tc>
          <w:tcPr>
            <w:tcW w:type="dxa" w:w="9518"/>
            <w:shd w:val="clear" w:fill="FDF4EF"/>
          </w:tcPr>
          <w:p>
            <w:pPr>
              <w:spacing w:after="100"/>
            </w:pPr>
            <w:r>
              <w:rPr>
                <w:rFonts w:ascii="Calibri" w:hAnsi="Calibri"/>
                <w:b/>
                <w:i w:val="0"/>
                <w:color w:val="10161D"/>
                <w:sz w:val="17"/>
              </w:rPr>
              <w:t>LAS ADVERTENCIAS QUE HAY QUE TENER PRESENTES</w:t>
            </w:r>
          </w:p>
          <w:p>
            <w:pPr>
              <w:pStyle w:val="ListBullet"/>
              <w:spacing w:after="80" w:line="283" w:lineRule="auto"/>
            </w:pPr>
            <w:r>
              <w:rPr>
                <w:rFonts w:ascii="Calibri" w:hAnsi="Calibri"/>
                <w:b/>
                <w:i w:val="0"/>
                <w:color w:val="4A5765"/>
                <w:sz w:val="20"/>
              </w:rPr>
              <w:t>El primer y el último mes están incompletos</w:t>
            </w:r>
            <w:r>
              <w:rPr>
                <w:rFonts w:ascii="Calibri" w:hAnsi="Calibri"/>
                <w:b w:val="0"/>
                <w:i w:val="0"/>
                <w:color w:val="4A5765"/>
                <w:sz w:val="20"/>
              </w:rPr>
              <w:t xml:space="preserve"> — septiembre de 2025 es donde arranca el archivo y agosto de 2026 corta un jueves.</w:t>
            </w:r>
          </w:p>
          <w:p>
            <w:pPr>
              <w:pStyle w:val="ListBullet"/>
              <w:spacing w:after="80" w:line="283" w:lineRule="auto"/>
            </w:pPr>
            <w:r>
              <w:rPr>
                <w:rFonts w:ascii="Calibri" w:hAnsi="Calibri"/>
                <w:b/>
                <w:i w:val="0"/>
                <w:color w:val="4A5765"/>
                <w:sz w:val="20"/>
              </w:rPr>
              <w:t>Junio de 2026 no es temporada alta:</w:t>
            </w:r>
            <w:r>
              <w:rPr>
                <w:rFonts w:ascii="Calibri" w:hAnsi="Calibri"/>
                <w:b w:val="0"/>
                <w:i w:val="0"/>
                <w:color w:val="4A5765"/>
                <w:sz w:val="20"/>
              </w:rPr>
              <w:t xml:space="preserve"> se abrieron 24 rutas de preventa.</w:t>
            </w:r>
          </w:p>
          <w:p>
            <w:pPr>
              <w:pStyle w:val="ListBullet"/>
              <w:spacing w:after="80" w:line="283" w:lineRule="auto"/>
            </w:pPr>
            <w:r>
              <w:rPr>
                <w:rFonts w:ascii="Calibri" w:hAnsi="Calibri"/>
                <w:b/>
                <w:i w:val="0"/>
                <w:color w:val="4A5765"/>
                <w:sz w:val="20"/>
              </w:rPr>
              <w:t>El código de promoción no sirve como está:</w:t>
            </w:r>
            <w:r>
              <w:rPr>
                <w:rFonts w:ascii="Calibri" w:hAnsi="Calibri"/>
                <w:b w:val="0"/>
                <w:i w:val="0"/>
                <w:color w:val="4A5765"/>
                <w:sz w:val="20"/>
              </w:rPr>
              <w:t xml:space="preserve"> viene lleno en casi todos los renglones.</w:t>
            </w:r>
          </w:p>
          <w:p>
            <w:pPr>
              <w:pStyle w:val="ListBullet"/>
              <w:spacing w:after="0" w:line="283" w:lineRule="auto"/>
            </w:pPr>
            <w:r>
              <w:rPr>
                <w:rFonts w:ascii="Calibri" w:hAnsi="Calibri"/>
                <w:b/>
                <w:i w:val="0"/>
                <w:color w:val="4A5765"/>
                <w:sz w:val="20"/>
              </w:rPr>
              <w:t>Un solo ciclo anual:</w:t>
            </w:r>
            <w:r>
              <w:rPr>
                <w:rFonts w:ascii="Calibri" w:hAnsi="Calibri"/>
                <w:b w:val="0"/>
                <w:i w:val="0"/>
                <w:color w:val="4A5765"/>
                <w:sz w:val="20"/>
              </w:rPr>
              <w:t xml:space="preserve"> tendencia y estacionalidad no se pueden separar.</w:t>
            </w:r>
          </w:p>
        </w:tc>
      </w:tr>
    </w:tbl>
    <w:p>
      <w:pPr>
        <w:spacing w:before="0" w:after="120" w:line="293" w:lineRule="auto"/>
      </w:pPr>
    </w:p>
    <w:p>
      <w:pPr>
        <w:keepNext/>
        <w:spacing w:before="440" w:after="40" w:line="293" w:lineRule="auto"/>
      </w:pPr>
      <w:r>
        <w:rPr>
          <w:rFonts w:ascii="Consolas" w:hAnsi="Consolas"/>
          <w:b/>
          <w:i w:val="0"/>
          <w:color w:val="2A78D6"/>
          <w:sz w:val="18"/>
        </w:rPr>
        <w:t>03 · METODOLOGÍA</w:t>
      </w:r>
    </w:p>
    <w:p>
      <w:pPr>
        <w:pStyle w:val="Heading1"/>
        <w:spacing w:before="400" w:after="140"/>
      </w:pPr>
      <w:r>
        <w:rPr>
          <w:rFonts w:ascii="Calibri" w:hAnsi="Calibri"/>
          <w:b/>
          <w:i w:val="0"/>
          <w:color w:val="10161D"/>
          <w:sz w:val="34"/>
        </w:rPr>
        <w:t>Cómo se comparó, para que la comparación signifique algo</w:t>
      </w:r>
    </w:p>
    <w:p>
      <w:pPr>
        <w:spacing w:before="0" w:after="240" w:line="293" w:lineRule="auto"/>
      </w:pPr>
      <w:r>
        <w:rPr>
          <w:rFonts w:ascii="Calibri" w:hAnsi="Calibri"/>
          <w:b w:val="0"/>
          <w:i w:val="0"/>
          <w:color w:val="10161D"/>
          <w:sz w:val="23"/>
        </w:rPr>
        <w:t xml:space="preserve">Se reconstruyó la lógica del sistema actual como línea base y se midieron cuatro alternativas </w:t>
      </w:r>
      <w:r>
        <w:rPr>
          <w:rFonts w:ascii="Calibri" w:hAnsi="Calibri"/>
          <w:b/>
          <w:i w:val="0"/>
          <w:color w:val="10161D"/>
          <w:sz w:val="23"/>
        </w:rPr>
        <w:t>sobre el mismo conjunto de candidatos, el mismo mes y la misma población</w:t>
      </w:r>
      <w:r>
        <w:rPr>
          <w:rFonts w:ascii="Calibri" w:hAnsi="Calibri"/>
          <w:b w:val="0"/>
          <w:i w:val="0"/>
          <w:color w:val="10161D"/>
          <w:sz w:val="23"/>
        </w:rPr>
        <w:t>. Sin eso, cualquier diferencia sería del método y no del modelo.</w:t>
      </w:r>
    </w:p>
    <w:p>
      <w:pPr>
        <w:spacing w:after="140" w:line="288" w:lineRule="auto"/>
        <w:ind w:left="510" w:hanging="510"/>
      </w:pPr>
      <w:r>
        <w:rPr>
          <w:rFonts w:ascii="Calibri" w:hAnsi="Calibri"/>
          <w:b/>
          <w:i w:val="0"/>
          <w:color w:val="2A78D6"/>
          <w:sz w:val="21"/>
        </w:rPr>
        <w:t xml:space="preserve">1.  </w:t>
      </w:r>
      <w:r>
        <w:rPr>
          <w:rFonts w:ascii="Calibri" w:hAnsi="Calibri"/>
          <w:b/>
          <w:i w:val="0"/>
          <w:color w:val="4A5765"/>
          <w:sz w:val="21"/>
        </w:rPr>
        <w:t>Qué se recomienda.</w:t>
      </w:r>
      <w:r>
        <w:rPr>
          <w:rFonts w:ascii="Calibri" w:hAnsi="Calibri"/>
          <w:b w:val="0"/>
          <w:i w:val="0"/>
          <w:color w:val="4A5765"/>
          <w:sz w:val="21"/>
        </w:rPr>
        <w:t xml:space="preserve"> Solo productos que el cliente </w:t>
      </w:r>
      <w:r>
        <w:rPr>
          <w:rFonts w:ascii="Calibri" w:hAnsi="Calibri"/>
          <w:b/>
          <w:i w:val="0"/>
          <w:color w:val="4A5765"/>
          <w:sz w:val="21"/>
        </w:rPr>
        <w:t>no pidió en los últimos dos meses</w:t>
      </w:r>
      <w:r>
        <w:rPr>
          <w:rFonts w:ascii="Calibri" w:hAnsi="Calibri"/>
          <w:b w:val="0"/>
          <w:i w:val="0"/>
          <w:color w:val="4A5765"/>
          <w:sz w:val="21"/>
        </w:rPr>
        <w:t>. Lo que ya viene comprando queda fuera: lo iba a pedir igual, y acertarle infla el número sin generar venta.</w:t>
      </w:r>
    </w:p>
    <w:p>
      <w:pPr>
        <w:spacing w:after="140" w:line="288" w:lineRule="auto"/>
        <w:ind w:left="510" w:hanging="510"/>
      </w:pPr>
      <w:r>
        <w:rPr>
          <w:rFonts w:ascii="Calibri" w:hAnsi="Calibri"/>
          <w:b/>
          <w:i w:val="0"/>
          <w:color w:val="2A78D6"/>
          <w:sz w:val="21"/>
        </w:rPr>
        <w:t xml:space="preserve">2.  </w:t>
      </w:r>
      <w:r>
        <w:rPr>
          <w:rFonts w:ascii="Calibri" w:hAnsi="Calibri"/>
          <w:b/>
          <w:i w:val="0"/>
          <w:color w:val="4A5765"/>
          <w:sz w:val="21"/>
        </w:rPr>
        <w:t>Contra qué se compara.</w:t>
      </w:r>
      <w:r>
        <w:rPr>
          <w:rFonts w:ascii="Calibri" w:hAnsi="Calibri"/>
          <w:b w:val="0"/>
          <w:i w:val="0"/>
          <w:color w:val="4A5765"/>
          <w:sz w:val="21"/>
        </w:rPr>
        <w:t xml:space="preserve"> B1 reproduce el sistema actual: ordenar por popularidad entre clientes de la misma ruta. </w:t>
      </w:r>
      <w:r>
        <w:rPr>
          <w:rFonts w:ascii="Calibri" w:hAnsi="Calibri"/>
          <w:b/>
          <w:i w:val="0"/>
          <w:color w:val="4A5765"/>
          <w:sz w:val="21"/>
        </w:rPr>
        <w:t>Es una reconstrucción</w:t>
      </w:r>
      <w:r>
        <w:rPr>
          <w:rFonts w:ascii="Calibri" w:hAnsi="Calibri"/>
          <w:b w:val="0"/>
          <w:i w:val="0"/>
          <w:color w:val="4A5765"/>
          <w:sz w:val="21"/>
        </w:rPr>
        <w:t>, porque la empresa no conserva las recomendaciones que su sistema generó.</w:t>
      </w:r>
    </w:p>
    <w:p>
      <w:pPr>
        <w:spacing w:after="140" w:line="288" w:lineRule="auto"/>
        <w:ind w:left="510" w:hanging="510"/>
      </w:pPr>
      <w:r>
        <w:rPr>
          <w:rFonts w:ascii="Calibri" w:hAnsi="Calibri"/>
          <w:b/>
          <w:i w:val="0"/>
          <w:color w:val="2A78D6"/>
          <w:sz w:val="21"/>
        </w:rPr>
        <w:t xml:space="preserve">3.  </w:t>
      </w:r>
      <w:r>
        <w:rPr>
          <w:rFonts w:ascii="Calibri" w:hAnsi="Calibri"/>
          <w:b/>
          <w:i w:val="0"/>
          <w:color w:val="4A5765"/>
          <w:sz w:val="21"/>
        </w:rPr>
        <w:t>Cómo se evita hacer trampa.</w:t>
      </w:r>
      <w:r>
        <w:rPr>
          <w:rFonts w:ascii="Calibri" w:hAnsi="Calibri"/>
          <w:b w:val="0"/>
          <w:i w:val="0"/>
          <w:color w:val="4A5765"/>
          <w:sz w:val="21"/>
        </w:rPr>
        <w:t xml:space="preserve"> Toda variable del mes se calcula solo con meses anteriores. Se entrena con febrero a abril, se valida con mayo y </w:t>
      </w:r>
      <w:r>
        <w:rPr>
          <w:rFonts w:ascii="Calibri" w:hAnsi="Calibri"/>
          <w:b/>
          <w:i w:val="0"/>
          <w:color w:val="4A5765"/>
          <w:sz w:val="21"/>
        </w:rPr>
        <w:t>se prueba con julio</w:t>
      </w:r>
      <w:r>
        <w:rPr>
          <w:rFonts w:ascii="Calibri" w:hAnsi="Calibri"/>
          <w:b w:val="0"/>
          <w:i w:val="0"/>
          <w:color w:val="4A5765"/>
          <w:sz w:val="21"/>
        </w:rPr>
        <w:t>, que el modelo nunca vio. Junio queda fuera: es el mes de la expansión de rutas.</w:t>
      </w:r>
    </w:p>
    <w:p>
      <w:pPr>
        <w:spacing w:after="140" w:line="288" w:lineRule="auto"/>
        <w:ind w:left="510" w:hanging="510"/>
      </w:pPr>
      <w:r>
        <w:rPr>
          <w:rFonts w:ascii="Calibri" w:hAnsi="Calibri"/>
          <w:b/>
          <w:i w:val="0"/>
          <w:color w:val="2A78D6"/>
          <w:sz w:val="21"/>
        </w:rPr>
        <w:t xml:space="preserve">4.  </w:t>
      </w:r>
      <w:r>
        <w:rPr>
          <w:rFonts w:ascii="Calibri" w:hAnsi="Calibri"/>
          <w:b/>
          <w:i w:val="0"/>
          <w:color w:val="4A5765"/>
          <w:sz w:val="21"/>
        </w:rPr>
        <w:t>Cuándo se considera exitoso.</w:t>
      </w:r>
      <w:r>
        <w:rPr>
          <w:rFonts w:ascii="Calibri" w:hAnsi="Calibri"/>
          <w:b w:val="0"/>
          <w:i w:val="0"/>
          <w:color w:val="4A5765"/>
          <w:sz w:val="21"/>
        </w:rPr>
        <w:t xml:space="preserve"> El umbral —superar a B1 por 5 puntos— se fijó </w:t>
      </w:r>
      <w:r>
        <w:rPr>
          <w:rFonts w:ascii="Calibri" w:hAnsi="Calibri"/>
          <w:b/>
          <w:i w:val="0"/>
          <w:color w:val="4A5765"/>
          <w:sz w:val="21"/>
        </w:rPr>
        <w:t>antes</w:t>
      </w:r>
      <w:r>
        <w:rPr>
          <w:rFonts w:ascii="Calibri" w:hAnsi="Calibri"/>
          <w:b w:val="0"/>
          <w:i w:val="0"/>
          <w:color w:val="4A5765"/>
          <w:sz w:val="21"/>
        </w:rPr>
        <w:t xml:space="preserve"> de ver resultados, para no acomodarlo después.</w:t>
      </w:r>
    </w:p>
    <w:p>
      <w:pPr>
        <w:spacing w:after="140" w:line="288" w:lineRule="auto"/>
        <w:ind w:left="510" w:hanging="510"/>
      </w:pPr>
      <w:r>
        <w:rPr>
          <w:rFonts w:ascii="Calibri" w:hAnsi="Calibri"/>
          <w:b/>
          <w:i w:val="0"/>
          <w:color w:val="2A78D6"/>
          <w:sz w:val="21"/>
        </w:rPr>
        <w:t xml:space="preserve">5.  </w:t>
      </w:r>
      <w:r>
        <w:rPr>
          <w:rFonts w:ascii="Calibri" w:hAnsi="Calibri"/>
          <w:b/>
          <w:i w:val="0"/>
          <w:color w:val="4A5765"/>
          <w:sz w:val="21"/>
        </w:rPr>
        <w:t>Cuántas sugerencias.</w:t>
      </w:r>
      <w:r>
        <w:rPr>
          <w:rFonts w:ascii="Calibri" w:hAnsi="Calibri"/>
          <w:b w:val="0"/>
          <w:i w:val="0"/>
          <w:color w:val="4A5765"/>
          <w:sz w:val="21"/>
        </w:rPr>
        <w:t xml:space="preserve"> Ocho por cliente al mes, que es lo que hoy emite el sistema actual, ordenadas por la puntuación de cada modelo.</w:t>
      </w:r>
    </w:p>
    <w:p>
      <w:pPr>
        <w:pStyle w:val="Heading2"/>
        <w:spacing w:before="340" w:after="100"/>
      </w:pPr>
      <w:r>
        <w:rPr>
          <w:rFonts w:ascii="Calibri" w:hAnsi="Calibri"/>
          <w:b/>
          <w:i w:val="0"/>
          <w:color w:val="10161D"/>
          <w:sz w:val="26"/>
        </w:rPr>
        <w:t>Los cinco modelos</w:t>
      </w:r>
    </w:p>
    <w:tbl>
      <w:tblPr>
        <w:tblW w:type="pct" w:w="5000"/>
        <w:jc w:val="left"/>
        <w:tblBorders>
          <w:top w:val="single" w:sz="6" w:space="0" w:color="10161D"/>
          <w:left w:val="none" w:sz="0" w:space="0" w:color="auto"/>
          <w:bottom w:val="single" w:sz="6" w:space="0" w:color="10161D"/>
          <w:right w:val="none" w:sz="0" w:space="0" w:color="auto"/>
          <w:insideH w:val="single" w:sz="4" w:space="0" w:color="E7ECF1"/>
          <w:insideV w:val="none" w:sz="0" w:space="0" w:color="auto"/>
        </w:tblBorders>
        <w:tblCellMar>
          <w:top w:w="70" w:type="dxa"/>
          <w:left w:w="100" w:type="dxa"/>
          <w:bottom w:w="70" w:type="dxa"/>
          <w:right w:w="100" w:type="dxa"/>
        </w:tblCellMar>
        <w:tblLook w:firstColumn="1" w:firstRow="1" w:lastColumn="0" w:lastRow="0" w:noHBand="0" w:noVBand="1" w:val="04A0"/>
      </w:tblPr>
      <w:tblGrid>
        <w:gridCol w:w="4759"/>
        <w:gridCol w:w="4759"/>
      </w:tblGrid>
      <w:tr>
        <w:trPr>
          <w:cantSplit/>
        </w:trPr>
        <w:tc>
          <w:tcPr>
            <w:tcW w:type="dxa" w:w="4759"/>
            <w:shd w:val="clear" w:fill="EEF1F5"/>
          </w:tcPr>
          <w:p>
            <w:pPr>
              <w:spacing w:after="40"/>
            </w:pPr>
            <w:r>
              <w:rPr>
                <w:rFonts w:ascii="Calibri" w:hAnsi="Calibri"/>
                <w:b/>
                <w:i w:val="0"/>
                <w:color w:val="10161D"/>
                <w:sz w:val="18"/>
              </w:rPr>
              <w:t>Modelo</w:t>
            </w:r>
          </w:p>
        </w:tc>
        <w:tc>
          <w:tcPr>
            <w:tcW w:type="dxa" w:w="4759"/>
            <w:shd w:val="clear" w:fill="EEF1F5"/>
          </w:tcPr>
          <w:p>
            <w:pPr>
              <w:spacing w:after="40"/>
              <w:jc w:val="right"/>
            </w:pPr>
            <w:r>
              <w:rPr>
                <w:rFonts w:ascii="Calibri" w:hAnsi="Calibri"/>
                <w:b/>
                <w:i w:val="0"/>
                <w:color w:val="10161D"/>
                <w:sz w:val="18"/>
              </w:rPr>
              <w:t>Criterio de orden</w:t>
            </w:r>
          </w:p>
        </w:tc>
      </w:tr>
      <w:tr>
        <w:trPr>
          <w:cantSplit/>
        </w:trPr>
        <w:tc>
          <w:tcPr>
            <w:tcW w:type="dxa" w:w="4759"/>
          </w:tcPr>
          <w:p>
            <w:pPr>
              <w:spacing w:after="40"/>
            </w:pPr>
            <w:r>
              <w:rPr>
                <w:rFonts w:ascii="Calibri" w:hAnsi="Calibri"/>
                <w:b w:val="0"/>
                <w:i w:val="0"/>
                <w:color w:val="4A5765"/>
                <w:sz w:val="19"/>
              </w:rPr>
              <w:t>B0 · popularidad global</w:t>
            </w:r>
          </w:p>
        </w:tc>
        <w:tc>
          <w:tcPr>
            <w:tcW w:type="dxa" w:w="4759"/>
          </w:tcPr>
          <w:p>
            <w:pPr>
              <w:spacing w:after="40"/>
            </w:pPr>
            <w:r>
              <w:rPr>
                <w:rFonts w:ascii="Calibri" w:hAnsi="Calibri"/>
                <w:b w:val="0"/>
                <w:i w:val="0"/>
                <w:color w:val="4A5765"/>
                <w:sz w:val="19"/>
              </w:rPr>
              <w:t>el producto más vendido en toda la operación</w:t>
            </w:r>
          </w:p>
        </w:tc>
      </w:tr>
      <w:tr>
        <w:trPr>
          <w:cantSplit/>
        </w:trPr>
        <w:tc>
          <w:tcPr>
            <w:tcW w:type="dxa" w:w="4759"/>
          </w:tcPr>
          <w:p>
            <w:pPr>
              <w:spacing w:after="40"/>
            </w:pPr>
            <w:r>
              <w:rPr>
                <w:rFonts w:ascii="Calibri" w:hAnsi="Calibri"/>
                <w:b w:val="0"/>
                <w:i w:val="0"/>
                <w:color w:val="4A5765"/>
                <w:sz w:val="19"/>
              </w:rPr>
              <w:t>B1 · popularidad de ruta</w:t>
            </w:r>
          </w:p>
        </w:tc>
        <w:tc>
          <w:tcPr>
            <w:tcW w:type="dxa" w:w="4759"/>
          </w:tcPr>
          <w:p>
            <w:pPr>
              <w:spacing w:after="40"/>
            </w:pPr>
            <w:r>
              <w:rPr>
                <w:rFonts w:ascii="Calibri" w:hAnsi="Calibri"/>
                <w:b w:val="0"/>
                <w:i w:val="0"/>
                <w:color w:val="4A5765"/>
                <w:sz w:val="19"/>
              </w:rPr>
              <w:t>el más vendido entre clientes de su ruta (sistema actual)</w:t>
            </w:r>
          </w:p>
        </w:tc>
      </w:tr>
      <w:tr>
        <w:trPr>
          <w:cantSplit/>
        </w:trPr>
        <w:tc>
          <w:tcPr>
            <w:tcW w:type="dxa" w:w="4759"/>
          </w:tcPr>
          <w:p>
            <w:pPr>
              <w:spacing w:after="40"/>
            </w:pPr>
            <w:r>
              <w:rPr>
                <w:rFonts w:ascii="Calibri" w:hAnsi="Calibri"/>
                <w:b w:val="0"/>
                <w:i w:val="0"/>
                <w:color w:val="4A5765"/>
                <w:sz w:val="19"/>
              </w:rPr>
              <w:t>P1 · ruta + marca</w:t>
            </w:r>
          </w:p>
        </w:tc>
        <w:tc>
          <w:tcPr>
            <w:tcW w:type="dxa" w:w="4759"/>
          </w:tcPr>
          <w:p>
            <w:pPr>
              <w:spacing w:after="40"/>
            </w:pPr>
            <w:r>
              <w:rPr>
                <w:rFonts w:ascii="Calibri" w:hAnsi="Calibri"/>
                <w:b w:val="0"/>
                <w:i w:val="0"/>
                <w:color w:val="4A5765"/>
                <w:sz w:val="19"/>
              </w:rPr>
              <w:t>B1 anteponiendo marcas que el cliente ya compra</w:t>
            </w:r>
          </w:p>
        </w:tc>
      </w:tr>
      <w:tr>
        <w:trPr>
          <w:cantSplit/>
        </w:trPr>
        <w:tc>
          <w:tcPr>
            <w:tcW w:type="dxa" w:w="4759"/>
          </w:tcPr>
          <w:p>
            <w:pPr>
              <w:spacing w:after="40"/>
            </w:pPr>
            <w:r>
              <w:rPr>
                <w:rFonts w:ascii="Calibri" w:hAnsi="Calibri"/>
                <w:b w:val="0"/>
                <w:i w:val="0"/>
                <w:color w:val="4A5765"/>
                <w:sz w:val="19"/>
              </w:rPr>
              <w:t>P2 · afinidad</w:t>
            </w:r>
          </w:p>
        </w:tc>
        <w:tc>
          <w:tcPr>
            <w:tcW w:type="dxa" w:w="4759"/>
          </w:tcPr>
          <w:p>
            <w:pPr>
              <w:spacing w:after="40"/>
            </w:pPr>
            <w:r>
              <w:rPr>
                <w:rFonts w:ascii="Calibri" w:hAnsi="Calibri"/>
                <w:b w:val="0"/>
                <w:i w:val="0"/>
                <w:color w:val="4A5765"/>
                <w:sz w:val="19"/>
              </w:rPr>
              <w:t>co-ocurrencia con lo que el cliente ya lleva</w:t>
            </w:r>
          </w:p>
        </w:tc>
      </w:tr>
      <w:tr>
        <w:trPr>
          <w:cantSplit/>
        </w:trPr>
        <w:tc>
          <w:tcPr>
            <w:tcW w:type="dxa" w:w="4759"/>
          </w:tcPr>
          <w:p>
            <w:pPr>
              <w:spacing w:after="40"/>
            </w:pPr>
            <w:r>
              <w:rPr>
                <w:rFonts w:ascii="Calibri" w:hAnsi="Calibri"/>
                <w:b w:val="0"/>
                <w:i w:val="0"/>
                <w:color w:val="4A5765"/>
                <w:sz w:val="19"/>
              </w:rPr>
              <w:t>P3 · ranker</w:t>
            </w:r>
          </w:p>
        </w:tc>
        <w:tc>
          <w:tcPr>
            <w:tcW w:type="dxa" w:w="4759"/>
          </w:tcPr>
          <w:p>
            <w:pPr>
              <w:spacing w:after="40"/>
            </w:pPr>
            <w:r>
              <w:rPr>
                <w:rFonts w:ascii="Calibri" w:hAnsi="Calibri"/>
                <w:b w:val="0"/>
                <w:i w:val="0"/>
                <w:color w:val="4A5765"/>
                <w:sz w:val="19"/>
              </w:rPr>
              <w:t>LightGBM LambdaRank sobre quince variables</w:t>
            </w:r>
          </w:p>
        </w:tc>
      </w:tr>
    </w:tbl>
    <w:p>
      <w:pPr>
        <w:spacing w:before="0" w:after="80" w:line="293" w:lineRule="auto"/>
      </w:pPr>
    </w:p>
    <w:tbl>
      <w:tblPr>
        <w:tblW w:type="pct" w:w="5000"/>
        <w:tblBorders>
          <w:top w:val="single" w:sz="4" w:space="0" w:color="C5E3D7"/>
          <w:left w:val="single" w:sz="18" w:space="0" w:color="2A78D6"/>
          <w:bottom w:val="single" w:sz="4" w:space="0" w:color="C5E3D7"/>
          <w:right w:val="single" w:sz="4" w:space="0" w:color="C5E3D7"/>
          <w:insideH w:val="none" w:sz="0" w:space="0" w:color="auto"/>
          <w:insideV w:val="none" w:sz="0" w:space="0" w:color="auto"/>
        </w:tblBorders>
        <w:tblCellMar>
          <w:top w:w="140" w:type="dxa"/>
          <w:left w:w="180" w:type="dxa"/>
          <w:bottom w:w="140" w:type="dxa"/>
          <w:right w:w="180" w:type="dxa"/>
        </w:tblCellMar>
        <w:tblLook w:firstColumn="1" w:firstRow="1" w:lastColumn="0" w:lastRow="0" w:noHBand="0" w:noVBand="1" w:val="04A0"/>
      </w:tblPr>
      <w:tblGrid>
        <w:gridCol w:w="9518"/>
      </w:tblGrid>
      <w:tr>
        <w:trPr>
          <w:cantSplit/>
        </w:trPr>
        <w:tc>
          <w:tcPr>
            <w:tcW w:type="dxa" w:w="9518"/>
            <w:shd w:val="clear" w:fill="F0F7F4"/>
          </w:tcPr>
          <w:p>
            <w:pPr>
              <w:spacing w:after="100"/>
            </w:pPr>
            <w:r>
              <w:rPr>
                <w:rFonts w:ascii="Calibri" w:hAnsi="Calibri"/>
                <w:b/>
                <w:i w:val="0"/>
                <w:color w:val="10161D"/>
                <w:sz w:val="17"/>
              </w:rPr>
              <w:t>EN UNA FRASE</w:t>
            </w:r>
          </w:p>
          <w:p>
            <w:pPr>
              <w:spacing w:after="0" w:line="288" w:lineRule="auto"/>
            </w:pPr>
            <w:r>
              <w:rPr>
                <w:rFonts w:ascii="Calibri" w:hAnsi="Calibri"/>
                <w:b w:val="0"/>
                <w:i w:val="0"/>
                <w:color w:val="4A5765"/>
                <w:sz w:val="20"/>
              </w:rPr>
              <w:t xml:space="preserve">Se le tapó la respuesta al modelo: aprendió con datos hasta abril y se le pidió adivinar qué compraría cada cliente en julio, </w:t>
            </w:r>
            <w:r>
              <w:rPr>
                <w:rFonts w:ascii="Calibri" w:hAnsi="Calibri"/>
                <w:b/>
                <w:i w:val="0"/>
                <w:color w:val="4A5765"/>
                <w:sz w:val="20"/>
              </w:rPr>
              <w:t>un mes que nunca vio</w:t>
            </w:r>
            <w:r>
              <w:rPr>
                <w:rFonts w:ascii="Calibri" w:hAnsi="Calibri"/>
                <w:b w:val="0"/>
                <w:i w:val="0"/>
                <w:color w:val="4A5765"/>
                <w:sz w:val="20"/>
              </w:rPr>
              <w:t>. Luego se comparó contra lo que realmente compró.</w:t>
            </w:r>
          </w:p>
        </w:tc>
      </w:tr>
    </w:tbl>
    <w:p>
      <w:pPr>
        <w:spacing w:before="0" w:after="120" w:line="293" w:lineRule="auto"/>
      </w:pPr>
    </w:p>
    <w:p>
      <w:pPr>
        <w:keepNext/>
        <w:spacing w:before="440" w:after="40" w:line="293" w:lineRule="auto"/>
      </w:pPr>
      <w:r>
        <w:rPr>
          <w:rFonts w:ascii="Consolas" w:hAnsi="Consolas"/>
          <w:b/>
          <w:i w:val="0"/>
          <w:color w:val="2A78D6"/>
          <w:sz w:val="18"/>
        </w:rPr>
        <w:t>04 · LAS VARIABLES</w:t>
      </w:r>
    </w:p>
    <w:p>
      <w:pPr>
        <w:pStyle w:val="Heading1"/>
        <w:spacing w:before="400" w:after="140"/>
      </w:pPr>
      <w:r>
        <w:rPr>
          <w:rFonts w:ascii="Calibri" w:hAnsi="Calibri"/>
          <w:b/>
          <w:i w:val="0"/>
          <w:color w:val="10161D"/>
          <w:sz w:val="34"/>
        </w:rPr>
        <w:t>Qué mira el modelo para decidir</w:t>
      </w:r>
    </w:p>
    <w:p>
      <w:pPr>
        <w:spacing w:before="0" w:after="240" w:line="293" w:lineRule="auto"/>
      </w:pPr>
      <w:r>
        <w:rPr>
          <w:rFonts w:ascii="Calibri" w:hAnsi="Calibri"/>
          <w:b w:val="0"/>
          <w:i w:val="0"/>
          <w:color w:val="10161D"/>
          <w:sz w:val="23"/>
        </w:rPr>
        <w:t xml:space="preserve">Quince señales, agrupadas en cinco familias. El porcentaje de la derecha es </w:t>
      </w:r>
      <w:r>
        <w:rPr>
          <w:rFonts w:ascii="Calibri" w:hAnsi="Calibri"/>
          <w:b/>
          <w:i w:val="0"/>
          <w:color w:val="10161D"/>
          <w:sz w:val="23"/>
        </w:rPr>
        <w:t>cuánto aporta cada una a las decisiones del modelo</w:t>
      </w:r>
      <w:r>
        <w:rPr>
          <w:rFonts w:ascii="Calibri" w:hAnsi="Calibri"/>
          <w:b w:val="0"/>
          <w:i w:val="0"/>
          <w:color w:val="10161D"/>
          <w:sz w:val="23"/>
        </w:rPr>
        <w:t>: los que superan el 3 % están en azul.</w:t>
      </w:r>
    </w:p>
    <w:p>
      <w:pPr>
        <w:keepNext/>
        <w:spacing w:before="120" w:after="80"/>
        <w:jc w:val="center"/>
      </w:pPr>
      <w:r>
        <w:drawing>
          <wp:inline xmlns:a="http://schemas.openxmlformats.org/drawingml/2006/main" xmlns:pic="http://schemas.openxmlformats.org/drawingml/2006/picture">
            <wp:extent cx="5903999" cy="3972899"/>
            <wp:docPr id="1" name="Picture 1"/>
            <wp:cNvGraphicFramePr>
              <a:graphicFrameLocks noChangeAspect="1"/>
            </wp:cNvGraphicFramePr>
            <a:graphic>
              <a:graphicData uri="http://schemas.openxmlformats.org/drawingml/2006/picture">
                <pic:pic>
                  <pic:nvPicPr>
                    <pic:cNvPr id="0" name="g1.png"/>
                    <pic:cNvPicPr/>
                  </pic:nvPicPr>
                  <pic:blipFill>
                    <a:blip r:embed="rId10"/>
                    <a:stretch>
                      <a:fillRect/>
                    </a:stretch>
                  </pic:blipFill>
                  <pic:spPr>
                    <a:xfrm>
                      <a:off x="0" y="0"/>
                      <a:ext cx="5903999" cy="3972899"/>
                    </a:xfrm>
                    <a:prstGeom prst="rect"/>
                  </pic:spPr>
                </pic:pic>
              </a:graphicData>
            </a:graphic>
          </wp:inline>
        </w:drawing>
      </w:r>
    </w:p>
    <w:p>
      <w:pPr>
        <w:spacing w:after="240"/>
        <w:jc w:val="center"/>
      </w:pPr>
      <w:r>
        <w:rPr>
          <w:rFonts w:ascii="Calibri" w:hAnsi="Calibri"/>
          <w:b w:val="0"/>
          <w:i/>
          <w:color w:val="78848F"/>
          <w:sz w:val="17"/>
        </w:rPr>
        <w:t>Cuánto aporta cada variable a las decisiones del modelo</w:t>
      </w:r>
    </w:p>
    <w:tbl>
      <w:tblPr>
        <w:tblW w:type="pct" w:w="5000"/>
        <w:tblBorders>
          <w:top w:val="single" w:sz="6" w:space="0" w:color="10161D"/>
          <w:left w:val="none" w:sz="0" w:space="0" w:color="auto"/>
          <w:bottom w:val="single" w:sz="6" w:space="0" w:color="10161D"/>
          <w:right w:val="none" w:sz="0" w:space="0" w:color="auto"/>
          <w:insideH w:val="single" w:sz="4" w:space="0" w:color="E7ECF1"/>
          <w:insideV w:val="none" w:sz="0" w:space="0" w:color="auto"/>
        </w:tblBorders>
        <w:tblLayout w:type="fixed"/>
        <w:tblLayout w:type="fixed"/>
        <w:tblCellMar>
          <w:top w:w="70" w:type="dxa"/>
          <w:left w:w="100" w:type="dxa"/>
          <w:bottom w:w="70" w:type="dxa"/>
          <w:right w:w="100" w:type="dxa"/>
        </w:tblCellMar>
        <w:tblLook w:firstColumn="1" w:firstRow="1" w:lastColumn="0" w:lastRow="0" w:noHBand="0" w:noVBand="1" w:val="04A0"/>
      </w:tblPr>
      <w:tblGrid>
        <w:gridCol w:w="2381"/>
        <w:gridCol w:w="5783"/>
        <w:gridCol w:w="1134"/>
      </w:tblGrid>
      <w:tr>
        <w:trPr>
          <w:cantSplit/>
        </w:trPr>
        <w:tc>
          <w:tcPr>
            <w:tcW w:type="dxa" w:w="1134"/>
            <w:gridSpan w:val="3"/>
            <w:shd w:val="clear" w:fill="EEF1F5"/>
          </w:tcPr>
          <w:p>
            <w:pPr>
              <w:spacing w:after="40"/>
            </w:pPr>
            <w:r>
              <w:rPr>
                <w:rFonts w:ascii="Calibri" w:hAnsi="Calibri"/>
                <w:b/>
                <w:i w:val="0"/>
                <w:color w:val="78848F"/>
                <w:sz w:val="17"/>
              </w:rPr>
              <w:t>LO QUE COMPRA GENTE PARECIDA</w:t>
            </w:r>
          </w:p>
        </w:tc>
      </w:tr>
      <w:tr>
        <w:trPr>
          <w:cantSplit/>
        </w:trPr>
        <w:tc>
          <w:tcPr>
            <w:tcW w:type="dxa" w:w="2381"/>
          </w:tcPr>
          <w:p>
            <w:pPr>
              <w:spacing w:after="40" w:line="276" w:lineRule="auto"/>
            </w:pPr>
            <w:r>
              <w:rPr>
                <w:rFonts w:ascii="Consolas" w:hAnsi="Consolas"/>
                <w:b/>
                <w:i w:val="0"/>
                <w:color w:val="10161D"/>
                <w:sz w:val="19"/>
              </w:rPr>
              <w:t>popularidad en su ruta</w:t>
            </w:r>
          </w:p>
        </w:tc>
        <w:tc>
          <w:tcPr>
            <w:tcW w:type="dxa" w:w="5783"/>
          </w:tcPr>
          <w:p>
            <w:pPr>
              <w:spacing w:after="40" w:line="276" w:lineRule="auto"/>
            </w:pPr>
            <w:r>
              <w:rPr>
                <w:rFonts w:ascii="Calibri" w:hAnsi="Calibri"/>
                <w:b w:val="0"/>
                <w:i w:val="0"/>
                <w:color w:val="4A5765"/>
                <w:sz w:val="19"/>
              </w:rPr>
              <w:t>Cuántos clientes de la misma ruta de preventa han comprado ese producto. Es la única señal que usa el sistema actual.</w:t>
            </w:r>
          </w:p>
        </w:tc>
        <w:tc>
          <w:tcPr>
            <w:tcW w:type="dxa" w:w="1134"/>
          </w:tcPr>
          <w:p>
            <w:pPr>
              <w:spacing w:after="40" w:line="276" w:lineRule="auto"/>
              <w:jc w:val="right"/>
            </w:pPr>
            <w:r>
              <w:rPr>
                <w:rFonts w:ascii="Consolas" w:hAnsi="Consolas"/>
                <w:b/>
                <w:i w:val="0"/>
                <w:color w:val="78848F"/>
                <w:sz w:val="19"/>
              </w:rPr>
              <w:t>1,7 %</w:t>
            </w:r>
          </w:p>
        </w:tc>
      </w:tr>
      <w:tr>
        <w:trPr>
          <w:cantSplit/>
        </w:trPr>
        <w:tc>
          <w:tcPr>
            <w:tcW w:type="dxa" w:w="2381"/>
          </w:tcPr>
          <w:p>
            <w:pPr>
              <w:spacing w:after="40" w:line="276" w:lineRule="auto"/>
            </w:pPr>
            <w:r>
              <w:rPr>
                <w:rFonts w:ascii="Consolas" w:hAnsi="Consolas"/>
                <w:b/>
                <w:i w:val="0"/>
                <w:color w:val="10161D"/>
                <w:sz w:val="19"/>
              </w:rPr>
              <w:t>posición en su ruta</w:t>
            </w:r>
          </w:p>
        </w:tc>
        <w:tc>
          <w:tcPr>
            <w:tcW w:type="dxa" w:w="5783"/>
          </w:tcPr>
          <w:p>
            <w:pPr>
              <w:spacing w:after="40" w:line="276" w:lineRule="auto"/>
            </w:pPr>
            <w:r>
              <w:rPr>
                <w:rFonts w:ascii="Calibri" w:hAnsi="Calibri"/>
                <w:b w:val="0"/>
                <w:i w:val="0"/>
                <w:color w:val="4A5765"/>
                <w:sz w:val="19"/>
              </w:rPr>
              <w:t>En qué lugar queda el producto dentro del ranking de su ruta: 1 es el más vendido. Dice lo mismo que la anterior pero en escala comparable entre rutas.</w:t>
            </w:r>
          </w:p>
        </w:tc>
        <w:tc>
          <w:tcPr>
            <w:tcW w:type="dxa" w:w="1134"/>
          </w:tcPr>
          <w:p>
            <w:pPr>
              <w:spacing w:after="40" w:line="276" w:lineRule="auto"/>
              <w:jc w:val="right"/>
            </w:pPr>
            <w:r>
              <w:rPr>
                <w:rFonts w:ascii="Consolas" w:hAnsi="Consolas"/>
                <w:b/>
                <w:i w:val="0"/>
                <w:color w:val="2A78D6"/>
                <w:sz w:val="19"/>
              </w:rPr>
              <w:t>5,1 %</w:t>
            </w:r>
          </w:p>
        </w:tc>
      </w:tr>
      <w:tr>
        <w:trPr>
          <w:cantSplit/>
        </w:trPr>
        <w:tc>
          <w:tcPr>
            <w:tcW w:type="dxa" w:w="2381"/>
          </w:tcPr>
          <w:p>
            <w:pPr>
              <w:spacing w:after="40" w:line="276" w:lineRule="auto"/>
            </w:pPr>
            <w:r>
              <w:rPr>
                <w:rFonts w:ascii="Consolas" w:hAnsi="Consolas"/>
                <w:b/>
                <w:i w:val="0"/>
                <w:color w:val="10161D"/>
                <w:sz w:val="19"/>
              </w:rPr>
              <w:t>popularidad general</w:t>
            </w:r>
          </w:p>
        </w:tc>
        <w:tc>
          <w:tcPr>
            <w:tcW w:type="dxa" w:w="5783"/>
          </w:tcPr>
          <w:p>
            <w:pPr>
              <w:spacing w:after="40" w:line="276" w:lineRule="auto"/>
            </w:pPr>
            <w:r>
              <w:rPr>
                <w:rFonts w:ascii="Calibri" w:hAnsi="Calibri"/>
                <w:b w:val="0"/>
                <w:i w:val="0"/>
                <w:color w:val="4A5765"/>
                <w:sz w:val="19"/>
              </w:rPr>
              <w:t>Cuántos clientes en toda la operación lo compran, sin importar la zona.</w:t>
            </w:r>
          </w:p>
        </w:tc>
        <w:tc>
          <w:tcPr>
            <w:tcW w:type="dxa" w:w="1134"/>
          </w:tcPr>
          <w:p>
            <w:pPr>
              <w:spacing w:after="40" w:line="276" w:lineRule="auto"/>
              <w:jc w:val="right"/>
            </w:pPr>
            <w:r>
              <w:rPr>
                <w:rFonts w:ascii="Consolas" w:hAnsi="Consolas"/>
                <w:b/>
                <w:i w:val="0"/>
                <w:color w:val="2A78D6"/>
                <w:sz w:val="19"/>
              </w:rPr>
              <w:t>7,5 %</w:t>
            </w:r>
          </w:p>
        </w:tc>
      </w:tr>
      <w:tr>
        <w:trPr>
          <w:cantSplit/>
        </w:trPr>
        <w:tc>
          <w:tcPr>
            <w:tcW w:type="dxa" w:w="1134"/>
            <w:gridSpan w:val="3"/>
            <w:shd w:val="clear" w:fill="EEF1F5"/>
          </w:tcPr>
          <w:p>
            <w:pPr>
              <w:spacing w:after="40"/>
            </w:pPr>
            <w:r>
              <w:rPr>
                <w:rFonts w:ascii="Calibri" w:hAnsi="Calibri"/>
                <w:b/>
                <w:i w:val="0"/>
                <w:color w:val="78848F"/>
                <w:sz w:val="17"/>
              </w:rPr>
              <w:t>CON QUÉ MARCAS TRABAJA EL CLIENTE</w:t>
            </w:r>
          </w:p>
        </w:tc>
      </w:tr>
      <w:tr>
        <w:trPr>
          <w:cantSplit/>
        </w:trPr>
        <w:tc>
          <w:tcPr>
            <w:tcW w:type="dxa" w:w="2381"/>
          </w:tcPr>
          <w:p>
            <w:pPr>
              <w:spacing w:after="40" w:line="276" w:lineRule="auto"/>
            </w:pPr>
            <w:r>
              <w:rPr>
                <w:rFonts w:ascii="Consolas" w:hAnsi="Consolas"/>
                <w:b/>
                <w:i w:val="0"/>
                <w:color w:val="10161D"/>
                <w:sz w:val="19"/>
              </w:rPr>
              <w:t>peso de la marca en su canasta</w:t>
            </w:r>
          </w:p>
        </w:tc>
        <w:tc>
          <w:tcPr>
            <w:tcW w:type="dxa" w:w="5783"/>
          </w:tcPr>
          <w:p>
            <w:pPr>
              <w:spacing w:after="40" w:line="276" w:lineRule="auto"/>
            </w:pPr>
            <w:r>
              <w:rPr>
                <w:rFonts w:ascii="Calibri" w:hAnsi="Calibri"/>
                <w:b w:val="0"/>
                <w:i w:val="0"/>
                <w:color w:val="4A5765"/>
                <w:sz w:val="19"/>
              </w:rPr>
              <w:t>Qué fracción de todo lo que compra el cliente es de esa marca. Un tendero que dedica el 30 % de su pedido a una marca es candidato natural para el resto de esa marca.</w:t>
            </w:r>
          </w:p>
        </w:tc>
        <w:tc>
          <w:tcPr>
            <w:tcW w:type="dxa" w:w="1134"/>
          </w:tcPr>
          <w:p>
            <w:pPr>
              <w:spacing w:after="40" w:line="276" w:lineRule="auto"/>
              <w:jc w:val="right"/>
            </w:pPr>
            <w:r>
              <w:rPr>
                <w:rFonts w:ascii="Consolas" w:hAnsi="Consolas"/>
                <w:b/>
                <w:i w:val="0"/>
                <w:color w:val="2A78D6"/>
                <w:sz w:val="19"/>
              </w:rPr>
              <w:t>30,2 %</w:t>
            </w:r>
          </w:p>
        </w:tc>
      </w:tr>
      <w:tr>
        <w:trPr>
          <w:cantSplit/>
        </w:trPr>
        <w:tc>
          <w:tcPr>
            <w:tcW w:type="dxa" w:w="2381"/>
          </w:tcPr>
          <w:p>
            <w:pPr>
              <w:spacing w:after="40" w:line="276" w:lineRule="auto"/>
            </w:pPr>
            <w:r>
              <w:rPr>
                <w:rFonts w:ascii="Consolas" w:hAnsi="Consolas"/>
                <w:b/>
                <w:i w:val="0"/>
                <w:color w:val="10161D"/>
                <w:sz w:val="19"/>
              </w:rPr>
              <w:t>¿ya compra la marca?</w:t>
            </w:r>
          </w:p>
        </w:tc>
        <w:tc>
          <w:tcPr>
            <w:tcW w:type="dxa" w:w="5783"/>
          </w:tcPr>
          <w:p>
            <w:pPr>
              <w:spacing w:after="40" w:line="276" w:lineRule="auto"/>
            </w:pPr>
            <w:r>
              <w:rPr>
                <w:rFonts w:ascii="Calibri" w:hAnsi="Calibri"/>
                <w:b w:val="0"/>
                <w:i w:val="0"/>
                <w:color w:val="4A5765"/>
                <w:sz w:val="19"/>
              </w:rPr>
              <w:t>Sí o no. Del EDA salió que 4 de cada 5 productos nuevos que adopta un cliente son de una marca que ya le vende.</w:t>
            </w:r>
          </w:p>
        </w:tc>
        <w:tc>
          <w:tcPr>
            <w:tcW w:type="dxa" w:w="1134"/>
          </w:tcPr>
          <w:p>
            <w:pPr>
              <w:spacing w:after="40" w:line="276" w:lineRule="auto"/>
              <w:jc w:val="right"/>
            </w:pPr>
            <w:r>
              <w:rPr>
                <w:rFonts w:ascii="Consolas" w:hAnsi="Consolas"/>
                <w:b/>
                <w:i w:val="0"/>
                <w:color w:val="78848F"/>
                <w:sz w:val="19"/>
              </w:rPr>
              <w:t>0,8 %</w:t>
            </w:r>
          </w:p>
        </w:tc>
      </w:tr>
      <w:tr>
        <w:trPr>
          <w:cantSplit/>
        </w:trPr>
        <w:tc>
          <w:tcPr>
            <w:tcW w:type="dxa" w:w="2381"/>
          </w:tcPr>
          <w:p>
            <w:pPr>
              <w:spacing w:after="40" w:line="276" w:lineRule="auto"/>
            </w:pPr>
            <w:r>
              <w:rPr>
                <w:rFonts w:ascii="Consolas" w:hAnsi="Consolas"/>
                <w:b/>
                <w:i w:val="0"/>
                <w:color w:val="10161D"/>
                <w:sz w:val="19"/>
              </w:rPr>
              <w:t>cuántos productos de esa marca ya lleva</w:t>
            </w:r>
          </w:p>
        </w:tc>
        <w:tc>
          <w:tcPr>
            <w:tcW w:type="dxa" w:w="5783"/>
          </w:tcPr>
          <w:p>
            <w:pPr>
              <w:spacing w:after="40" w:line="276" w:lineRule="auto"/>
            </w:pPr>
            <w:r>
              <w:rPr>
                <w:rFonts w:ascii="Calibri" w:hAnsi="Calibri"/>
                <w:b w:val="0"/>
                <w:i w:val="0"/>
                <w:color w:val="4A5765"/>
                <w:sz w:val="19"/>
              </w:rPr>
              <w:t>Si ya tiene ocho productos de una marca, el noveno es una venta más fácil que el primero.</w:t>
            </w:r>
          </w:p>
        </w:tc>
        <w:tc>
          <w:tcPr>
            <w:tcW w:type="dxa" w:w="1134"/>
          </w:tcPr>
          <w:p>
            <w:pPr>
              <w:spacing w:after="40" w:line="276" w:lineRule="auto"/>
              <w:jc w:val="right"/>
            </w:pPr>
            <w:r>
              <w:rPr>
                <w:rFonts w:ascii="Consolas" w:hAnsi="Consolas"/>
                <w:b/>
                <w:i w:val="0"/>
                <w:color w:val="78848F"/>
                <w:sz w:val="19"/>
              </w:rPr>
              <w:t>0,5 %</w:t>
            </w:r>
          </w:p>
        </w:tc>
      </w:tr>
      <w:tr>
        <w:trPr>
          <w:cantSplit/>
        </w:trPr>
        <w:tc>
          <w:tcPr>
            <w:tcW w:type="dxa" w:w="1134"/>
            <w:gridSpan w:val="3"/>
            <w:shd w:val="clear" w:fill="EEF1F5"/>
          </w:tcPr>
          <w:p>
            <w:pPr>
              <w:spacing w:after="40"/>
            </w:pPr>
            <w:r>
              <w:rPr>
                <w:rFonts w:ascii="Calibri" w:hAnsi="Calibri"/>
                <w:b/>
                <w:i w:val="0"/>
                <w:color w:val="78848F"/>
                <w:sz w:val="17"/>
              </w:rPr>
              <w:t>QUÉ VA JUNTO CON QUÉ</w:t>
            </w:r>
          </w:p>
        </w:tc>
      </w:tr>
      <w:tr>
        <w:trPr>
          <w:cantSplit/>
        </w:trPr>
        <w:tc>
          <w:tcPr>
            <w:tcW w:type="dxa" w:w="2381"/>
          </w:tcPr>
          <w:p>
            <w:pPr>
              <w:spacing w:after="40" w:line="276" w:lineRule="auto"/>
            </w:pPr>
            <w:r>
              <w:rPr>
                <w:rFonts w:ascii="Consolas" w:hAnsi="Consolas"/>
                <w:b/>
                <w:i w:val="0"/>
                <w:color w:val="10161D"/>
                <w:sz w:val="19"/>
              </w:rPr>
              <w:t>afinidad más alta</w:t>
            </w:r>
          </w:p>
        </w:tc>
        <w:tc>
          <w:tcPr>
            <w:tcW w:type="dxa" w:w="5783"/>
          </w:tcPr>
          <w:p>
            <w:pPr>
              <w:spacing w:after="40" w:line="276" w:lineRule="auto"/>
            </w:pPr>
            <w:r>
              <w:rPr>
                <w:rFonts w:ascii="Calibri" w:hAnsi="Calibri"/>
                <w:b w:val="0"/>
                <w:i w:val="0"/>
                <w:color w:val="4A5765"/>
                <w:sz w:val="19"/>
              </w:rPr>
              <w:t>De todo lo que el cliente ya compra, cuántas veces el producto candidato aparece en la misma canasta que el más afín. Captura el patrón de línea de sabor: quien lleva Whiskas atún lleva salmón.</w:t>
            </w:r>
          </w:p>
        </w:tc>
        <w:tc>
          <w:tcPr>
            <w:tcW w:type="dxa" w:w="1134"/>
          </w:tcPr>
          <w:p>
            <w:pPr>
              <w:spacing w:after="40" w:line="276" w:lineRule="auto"/>
              <w:jc w:val="right"/>
            </w:pPr>
            <w:r>
              <w:rPr>
                <w:rFonts w:ascii="Consolas" w:hAnsi="Consolas"/>
                <w:b/>
                <w:i w:val="0"/>
                <w:color w:val="2A78D6"/>
                <w:sz w:val="19"/>
              </w:rPr>
              <w:t>26,4 %</w:t>
            </w:r>
          </w:p>
        </w:tc>
      </w:tr>
      <w:tr>
        <w:trPr>
          <w:cantSplit/>
        </w:trPr>
        <w:tc>
          <w:tcPr>
            <w:tcW w:type="dxa" w:w="2381"/>
          </w:tcPr>
          <w:p>
            <w:pPr>
              <w:spacing w:after="40" w:line="276" w:lineRule="auto"/>
            </w:pPr>
            <w:r>
              <w:rPr>
                <w:rFonts w:ascii="Consolas" w:hAnsi="Consolas"/>
                <w:b/>
                <w:i w:val="0"/>
                <w:color w:val="10161D"/>
                <w:sz w:val="19"/>
              </w:rPr>
              <w:t>afinidad acumulada</w:t>
            </w:r>
          </w:p>
        </w:tc>
        <w:tc>
          <w:tcPr>
            <w:tcW w:type="dxa" w:w="5783"/>
          </w:tcPr>
          <w:p>
            <w:pPr>
              <w:spacing w:after="40" w:line="276" w:lineRule="auto"/>
            </w:pPr>
            <w:r>
              <w:rPr>
                <w:rFonts w:ascii="Calibri" w:hAnsi="Calibri"/>
                <w:b w:val="0"/>
                <w:i w:val="0"/>
                <w:color w:val="4A5765"/>
                <w:sz w:val="19"/>
              </w:rPr>
              <w:t>Lo mismo pero sumando sobre todos los productos que lleva, no solo el más afín. Distingue al que tiene una sola coincidencia fuerte del que tiene muchas medianas.</w:t>
            </w:r>
          </w:p>
        </w:tc>
        <w:tc>
          <w:tcPr>
            <w:tcW w:type="dxa" w:w="1134"/>
          </w:tcPr>
          <w:p>
            <w:pPr>
              <w:spacing w:after="40" w:line="276" w:lineRule="auto"/>
              <w:jc w:val="right"/>
            </w:pPr>
            <w:r>
              <w:rPr>
                <w:rFonts w:ascii="Consolas" w:hAnsi="Consolas"/>
                <w:b/>
                <w:i w:val="0"/>
                <w:color w:val="78848F"/>
                <w:sz w:val="19"/>
              </w:rPr>
              <w:t>1,8 %</w:t>
            </w:r>
          </w:p>
        </w:tc>
      </w:tr>
      <w:tr>
        <w:trPr>
          <w:cantSplit/>
        </w:trPr>
        <w:tc>
          <w:tcPr>
            <w:tcW w:type="dxa" w:w="1134"/>
            <w:gridSpan w:val="3"/>
            <w:shd w:val="clear" w:fill="EEF1F5"/>
          </w:tcPr>
          <w:p>
            <w:pPr>
              <w:spacing w:after="40"/>
            </w:pPr>
            <w:r>
              <w:rPr>
                <w:rFonts w:ascii="Calibri" w:hAnsi="Calibri"/>
                <w:b/>
                <w:i w:val="0"/>
                <w:color w:val="78848F"/>
                <w:sz w:val="17"/>
              </w:rPr>
              <w:t>CÓMO ES EL PRODUCTO</w:t>
            </w:r>
          </w:p>
        </w:tc>
      </w:tr>
      <w:tr>
        <w:trPr>
          <w:cantSplit/>
        </w:trPr>
        <w:tc>
          <w:tcPr>
            <w:tcW w:type="dxa" w:w="2381"/>
          </w:tcPr>
          <w:p>
            <w:pPr>
              <w:spacing w:after="40" w:line="276" w:lineRule="auto"/>
            </w:pPr>
            <w:r>
              <w:rPr>
                <w:rFonts w:ascii="Consolas" w:hAnsi="Consolas"/>
                <w:b/>
                <w:i w:val="0"/>
                <w:color w:val="10161D"/>
                <w:sz w:val="19"/>
              </w:rPr>
              <w:t>precio unitario</w:t>
            </w:r>
          </w:p>
        </w:tc>
        <w:tc>
          <w:tcPr>
            <w:tcW w:type="dxa" w:w="5783"/>
          </w:tcPr>
          <w:p>
            <w:pPr>
              <w:spacing w:after="40" w:line="276" w:lineRule="auto"/>
            </w:pPr>
            <w:r>
              <w:rPr>
                <w:rFonts w:ascii="Calibri" w:hAnsi="Calibri"/>
                <w:b w:val="0"/>
                <w:i w:val="0"/>
                <w:color w:val="4A5765"/>
                <w:sz w:val="19"/>
              </w:rPr>
              <w:t>Importe dividido entre piezas. Un producto de 20 pesos y uno de 900 no se ofrecen igual.</w:t>
            </w:r>
          </w:p>
        </w:tc>
        <w:tc>
          <w:tcPr>
            <w:tcW w:type="dxa" w:w="1134"/>
          </w:tcPr>
          <w:p>
            <w:pPr>
              <w:spacing w:after="40" w:line="276" w:lineRule="auto"/>
              <w:jc w:val="right"/>
            </w:pPr>
            <w:r>
              <w:rPr>
                <w:rFonts w:ascii="Consolas" w:hAnsi="Consolas"/>
                <w:b/>
                <w:i w:val="0"/>
                <w:color w:val="2A78D6"/>
                <w:sz w:val="19"/>
              </w:rPr>
              <w:t>7,0 %</w:t>
            </w:r>
          </w:p>
        </w:tc>
      </w:tr>
      <w:tr>
        <w:trPr>
          <w:cantSplit/>
        </w:trPr>
        <w:tc>
          <w:tcPr>
            <w:tcW w:type="dxa" w:w="2381"/>
          </w:tcPr>
          <w:p>
            <w:pPr>
              <w:spacing w:after="40" w:line="276" w:lineRule="auto"/>
            </w:pPr>
            <w:r>
              <w:rPr>
                <w:rFonts w:ascii="Consolas" w:hAnsi="Consolas"/>
                <w:b/>
                <w:i w:val="0"/>
                <w:color w:val="10161D"/>
                <w:sz w:val="19"/>
              </w:rPr>
              <w:t>retención del producto</w:t>
            </w:r>
          </w:p>
        </w:tc>
        <w:tc>
          <w:tcPr>
            <w:tcW w:type="dxa" w:w="5783"/>
          </w:tcPr>
          <w:p>
            <w:pPr>
              <w:spacing w:after="40" w:line="276" w:lineRule="auto"/>
            </w:pPr>
            <w:r>
              <w:rPr>
                <w:rFonts w:ascii="Calibri" w:hAnsi="Calibri"/>
                <w:b w:val="0"/>
                <w:i w:val="0"/>
                <w:color w:val="4A5765"/>
                <w:sz w:val="19"/>
              </w:rPr>
              <w:t>Qué fracción de quienes lo compran lo vuelven habitual (lo piden en tres meses o más). Separa los productos que enganchan de los que se prueban una vez.</w:t>
            </w:r>
          </w:p>
        </w:tc>
        <w:tc>
          <w:tcPr>
            <w:tcW w:type="dxa" w:w="1134"/>
          </w:tcPr>
          <w:p>
            <w:pPr>
              <w:spacing w:after="40" w:line="276" w:lineRule="auto"/>
              <w:jc w:val="right"/>
            </w:pPr>
            <w:r>
              <w:rPr>
                <w:rFonts w:ascii="Consolas" w:hAnsi="Consolas"/>
                <w:b/>
                <w:i w:val="0"/>
                <w:color w:val="2A78D6"/>
                <w:sz w:val="19"/>
              </w:rPr>
              <w:t>3,8 %</w:t>
            </w:r>
          </w:p>
        </w:tc>
      </w:tr>
      <w:tr>
        <w:trPr>
          <w:cantSplit/>
        </w:trPr>
        <w:tc>
          <w:tcPr>
            <w:tcW w:type="dxa" w:w="2381"/>
          </w:tcPr>
          <w:p>
            <w:pPr>
              <w:spacing w:after="40" w:line="276" w:lineRule="auto"/>
            </w:pPr>
            <w:r>
              <w:rPr>
                <w:rFonts w:ascii="Consolas" w:hAnsi="Consolas"/>
                <w:b/>
                <w:i w:val="0"/>
                <w:color w:val="10161D"/>
                <w:sz w:val="19"/>
              </w:rPr>
              <w:t>antigüedad en catálogo</w:t>
            </w:r>
          </w:p>
        </w:tc>
        <w:tc>
          <w:tcPr>
            <w:tcW w:type="dxa" w:w="5783"/>
          </w:tcPr>
          <w:p>
            <w:pPr>
              <w:spacing w:after="40" w:line="276" w:lineRule="auto"/>
            </w:pPr>
            <w:r>
              <w:rPr>
                <w:rFonts w:ascii="Calibri" w:hAnsi="Calibri"/>
                <w:b w:val="0"/>
                <w:i w:val="0"/>
                <w:color w:val="4A5765"/>
                <w:sz w:val="19"/>
              </w:rPr>
              <w:t>En cuántos meses del periodo se ha vendido. Un lanzamiento reciente tiene menos historia y se comporta distinto.</w:t>
            </w:r>
          </w:p>
        </w:tc>
        <w:tc>
          <w:tcPr>
            <w:tcW w:type="dxa" w:w="1134"/>
          </w:tcPr>
          <w:p>
            <w:pPr>
              <w:spacing w:after="40" w:line="276" w:lineRule="auto"/>
              <w:jc w:val="right"/>
            </w:pPr>
            <w:r>
              <w:rPr>
                <w:rFonts w:ascii="Consolas" w:hAnsi="Consolas"/>
                <w:b/>
                <w:i w:val="0"/>
                <w:color w:val="2A78D6"/>
                <w:sz w:val="19"/>
              </w:rPr>
              <w:t>3,9 %</w:t>
            </w:r>
          </w:p>
        </w:tc>
      </w:tr>
      <w:tr>
        <w:trPr>
          <w:cantSplit/>
        </w:trPr>
        <w:tc>
          <w:tcPr>
            <w:tcW w:type="dxa" w:w="2381"/>
          </w:tcPr>
          <w:p>
            <w:pPr>
              <w:spacing w:after="40" w:line="276" w:lineRule="auto"/>
            </w:pPr>
            <w:r>
              <w:rPr>
                <w:rFonts w:ascii="Consolas" w:hAnsi="Consolas"/>
                <w:b/>
                <w:i w:val="0"/>
                <w:color w:val="10161D"/>
                <w:sz w:val="19"/>
              </w:rPr>
              <w:t>¿ya lo había comprado?</w:t>
            </w:r>
          </w:p>
        </w:tc>
        <w:tc>
          <w:tcPr>
            <w:tcW w:type="dxa" w:w="5783"/>
          </w:tcPr>
          <w:p>
            <w:pPr>
              <w:spacing w:after="40" w:line="276" w:lineRule="auto"/>
            </w:pPr>
            <w:r>
              <w:rPr>
                <w:rFonts w:ascii="Calibri" w:hAnsi="Calibri"/>
                <w:b w:val="0"/>
                <w:i w:val="0"/>
                <w:color w:val="4A5765"/>
                <w:sz w:val="19"/>
              </w:rPr>
              <w:t>Si el cliente compró ese producto antes, aunque haya dejado de pedirlo. Recordarle algo que ya conoce es más fácil que presentarle algo nuevo.</w:t>
            </w:r>
          </w:p>
        </w:tc>
        <w:tc>
          <w:tcPr>
            <w:tcW w:type="dxa" w:w="1134"/>
          </w:tcPr>
          <w:p>
            <w:pPr>
              <w:spacing w:after="40" w:line="276" w:lineRule="auto"/>
              <w:jc w:val="right"/>
            </w:pPr>
            <w:r>
              <w:rPr>
                <w:rFonts w:ascii="Consolas" w:hAnsi="Consolas"/>
                <w:b/>
                <w:i w:val="0"/>
                <w:color w:val="2A78D6"/>
                <w:sz w:val="19"/>
              </w:rPr>
              <w:t>8,7 %</w:t>
            </w:r>
          </w:p>
        </w:tc>
      </w:tr>
      <w:tr>
        <w:trPr>
          <w:cantSplit/>
        </w:trPr>
        <w:tc>
          <w:tcPr>
            <w:tcW w:type="dxa" w:w="1134"/>
            <w:gridSpan w:val="3"/>
            <w:shd w:val="clear" w:fill="EEF1F5"/>
          </w:tcPr>
          <w:p>
            <w:pPr>
              <w:spacing w:after="40"/>
            </w:pPr>
            <w:r>
              <w:rPr>
                <w:rFonts w:ascii="Calibri" w:hAnsi="Calibri"/>
                <w:b/>
                <w:i w:val="0"/>
                <w:color w:val="78848F"/>
                <w:sz w:val="17"/>
              </w:rPr>
              <w:t>CÓMO ES EL CLIENTE</w:t>
            </w:r>
          </w:p>
        </w:tc>
      </w:tr>
      <w:tr>
        <w:trPr>
          <w:cantSplit/>
        </w:trPr>
        <w:tc>
          <w:tcPr>
            <w:tcW w:type="dxa" w:w="2381"/>
          </w:tcPr>
          <w:p>
            <w:pPr>
              <w:spacing w:after="40" w:line="276" w:lineRule="auto"/>
            </w:pPr>
            <w:r>
              <w:rPr>
                <w:rFonts w:ascii="Consolas" w:hAnsi="Consolas"/>
                <w:b/>
                <w:i w:val="0"/>
                <w:color w:val="10161D"/>
                <w:sz w:val="19"/>
              </w:rPr>
              <w:t>amplitud de su surtido</w:t>
            </w:r>
          </w:p>
        </w:tc>
        <w:tc>
          <w:tcPr>
            <w:tcW w:type="dxa" w:w="5783"/>
          </w:tcPr>
          <w:p>
            <w:pPr>
              <w:spacing w:after="40" w:line="276" w:lineRule="auto"/>
            </w:pPr>
            <w:r>
              <w:rPr>
                <w:rFonts w:ascii="Calibri" w:hAnsi="Calibri"/>
                <w:b w:val="0"/>
                <w:i w:val="0"/>
                <w:color w:val="4A5765"/>
                <w:sz w:val="19"/>
              </w:rPr>
              <w:t>Cuántos productos distintos ha comprado. Un cliente de surtido amplio acepta sugerencias que uno de surtido corto rechazaría.</w:t>
            </w:r>
          </w:p>
        </w:tc>
        <w:tc>
          <w:tcPr>
            <w:tcW w:type="dxa" w:w="1134"/>
          </w:tcPr>
          <w:p>
            <w:pPr>
              <w:spacing w:after="40" w:line="276" w:lineRule="auto"/>
              <w:jc w:val="right"/>
            </w:pPr>
            <w:r>
              <w:rPr>
                <w:rFonts w:ascii="Consolas" w:hAnsi="Consolas"/>
                <w:b/>
                <w:i w:val="0"/>
                <w:color w:val="78848F"/>
                <w:sz w:val="19"/>
              </w:rPr>
              <w:t>0,7 %</w:t>
            </w:r>
          </w:p>
        </w:tc>
      </w:tr>
      <w:tr>
        <w:trPr>
          <w:cantSplit/>
        </w:trPr>
        <w:tc>
          <w:tcPr>
            <w:tcW w:type="dxa" w:w="2381"/>
          </w:tcPr>
          <w:p>
            <w:pPr>
              <w:spacing w:after="40" w:line="276" w:lineRule="auto"/>
            </w:pPr>
            <w:r>
              <w:rPr>
                <w:rFonts w:ascii="Consolas" w:hAnsi="Consolas"/>
                <w:b/>
                <w:i w:val="0"/>
                <w:color w:val="10161D"/>
                <w:sz w:val="19"/>
              </w:rPr>
              <w:t>frecuencia de compra</w:t>
            </w:r>
          </w:p>
        </w:tc>
        <w:tc>
          <w:tcPr>
            <w:tcW w:type="dxa" w:w="5783"/>
          </w:tcPr>
          <w:p>
            <w:pPr>
              <w:spacing w:after="40" w:line="276" w:lineRule="auto"/>
            </w:pPr>
            <w:r>
              <w:rPr>
                <w:rFonts w:ascii="Calibri" w:hAnsi="Calibri"/>
                <w:b w:val="0"/>
                <w:i w:val="0"/>
                <w:color w:val="4A5765"/>
                <w:sz w:val="19"/>
              </w:rPr>
              <w:t>Cuántas veces ha comprado en el periodo.</w:t>
            </w:r>
          </w:p>
        </w:tc>
        <w:tc>
          <w:tcPr>
            <w:tcW w:type="dxa" w:w="1134"/>
          </w:tcPr>
          <w:p>
            <w:pPr>
              <w:spacing w:after="40" w:line="276" w:lineRule="auto"/>
              <w:jc w:val="right"/>
            </w:pPr>
            <w:r>
              <w:rPr>
                <w:rFonts w:ascii="Consolas" w:hAnsi="Consolas"/>
                <w:b/>
                <w:i w:val="0"/>
                <w:color w:val="78848F"/>
                <w:sz w:val="19"/>
              </w:rPr>
              <w:t>1,3 %</w:t>
            </w:r>
          </w:p>
        </w:tc>
      </w:tr>
      <w:tr>
        <w:trPr>
          <w:cantSplit/>
        </w:trPr>
        <w:tc>
          <w:tcPr>
            <w:tcW w:type="dxa" w:w="2381"/>
          </w:tcPr>
          <w:p>
            <w:pPr>
              <w:spacing w:after="40" w:line="276" w:lineRule="auto"/>
            </w:pPr>
            <w:r>
              <w:rPr>
                <w:rFonts w:ascii="Consolas" w:hAnsi="Consolas"/>
                <w:b/>
                <w:i w:val="0"/>
                <w:color w:val="10161D"/>
                <w:sz w:val="19"/>
              </w:rPr>
              <w:t>tamaño de su pedido</w:t>
            </w:r>
          </w:p>
        </w:tc>
        <w:tc>
          <w:tcPr>
            <w:tcW w:type="dxa" w:w="5783"/>
          </w:tcPr>
          <w:p>
            <w:pPr>
              <w:spacing w:after="40" w:line="276" w:lineRule="auto"/>
            </w:pPr>
            <w:r>
              <w:rPr>
                <w:rFonts w:ascii="Calibri" w:hAnsi="Calibri"/>
                <w:b w:val="0"/>
                <w:i w:val="0"/>
                <w:color w:val="4A5765"/>
                <w:sz w:val="19"/>
              </w:rPr>
              <w:t>Importe medio por compra. Acota qué rango de precio tiene sentido ofrecerle.</w:t>
            </w:r>
          </w:p>
        </w:tc>
        <w:tc>
          <w:tcPr>
            <w:tcW w:type="dxa" w:w="1134"/>
          </w:tcPr>
          <w:p>
            <w:pPr>
              <w:spacing w:after="40" w:line="276" w:lineRule="auto"/>
              <w:jc w:val="right"/>
            </w:pPr>
            <w:r>
              <w:rPr>
                <w:rFonts w:ascii="Consolas" w:hAnsi="Consolas"/>
                <w:b/>
                <w:i w:val="0"/>
                <w:color w:val="78848F"/>
                <w:sz w:val="19"/>
              </w:rPr>
              <w:t>0,7 %</w:t>
            </w:r>
          </w:p>
        </w:tc>
      </w:tr>
    </w:tbl>
    <w:p>
      <w:pPr>
        <w:spacing w:before="0" w:after="120" w:line="293" w:lineRule="auto"/>
      </w:pPr>
    </w:p>
    <w:tbl>
      <w:tblPr>
        <w:tblW w:type="pct" w:w="5000"/>
        <w:tblBorders>
          <w:top w:val="single" w:sz="4" w:space="0" w:color="C5E3D7"/>
          <w:left w:val="single" w:sz="18" w:space="0" w:color="2A78D6"/>
          <w:bottom w:val="single" w:sz="4" w:space="0" w:color="C5E3D7"/>
          <w:right w:val="single" w:sz="4" w:space="0" w:color="C5E3D7"/>
          <w:insideH w:val="none" w:sz="0" w:space="0" w:color="auto"/>
          <w:insideV w:val="none" w:sz="0" w:space="0" w:color="auto"/>
        </w:tblBorders>
        <w:tblCellMar>
          <w:top w:w="140" w:type="dxa"/>
          <w:left w:w="180" w:type="dxa"/>
          <w:bottom w:w="140" w:type="dxa"/>
          <w:right w:w="180" w:type="dxa"/>
        </w:tblCellMar>
        <w:tblLook w:firstColumn="1" w:firstRow="1" w:lastColumn="0" w:lastRow="0" w:noHBand="0" w:noVBand="1" w:val="04A0"/>
      </w:tblPr>
      <w:tblGrid>
        <w:gridCol w:w="9518"/>
      </w:tblGrid>
      <w:tr>
        <w:trPr>
          <w:cantSplit/>
        </w:trPr>
        <w:tc>
          <w:tcPr>
            <w:tcW w:type="dxa" w:w="9518"/>
            <w:shd w:val="clear" w:fill="F0F7F4"/>
          </w:tcPr>
          <w:p>
            <w:pPr>
              <w:spacing w:after="100"/>
            </w:pPr>
            <w:r>
              <w:rPr>
                <w:rFonts w:ascii="Calibri" w:hAnsi="Calibri"/>
                <w:b/>
                <w:i w:val="0"/>
                <w:color w:val="10161D"/>
                <w:sz w:val="17"/>
              </w:rPr>
              <w:t>LA CONCLUSIÓN QUE DEJA ESTA TABLA</w:t>
            </w:r>
          </w:p>
          <w:p>
            <w:pPr>
              <w:spacing w:after="100" w:line="288" w:lineRule="auto"/>
            </w:pPr>
            <w:r>
              <w:rPr>
                <w:rFonts w:ascii="Calibri" w:hAnsi="Calibri"/>
                <w:b/>
                <w:i w:val="0"/>
                <w:color w:val="4A5765"/>
                <w:sz w:val="20"/>
              </w:rPr>
              <w:t>El peso de la marca y la afinidad entre productos concentran el 56,6 % de lo que usa el modelo.</w:t>
            </w:r>
            <w:r>
              <w:rPr>
                <w:rFonts w:ascii="Calibri" w:hAnsi="Calibri"/>
                <w:b w:val="0"/>
                <w:i w:val="0"/>
                <w:color w:val="4A5765"/>
                <w:sz w:val="20"/>
              </w:rPr>
              <w:t xml:space="preserve"> Ninguna de las dos la mira el sistema actual.</w:t>
            </w:r>
          </w:p>
          <w:p>
            <w:pPr>
              <w:spacing w:after="0" w:line="288" w:lineRule="auto"/>
            </w:pPr>
            <w:r>
              <w:rPr>
                <w:rFonts w:ascii="Calibri" w:hAnsi="Calibri"/>
                <w:b w:val="0"/>
                <w:i w:val="0"/>
                <w:color w:val="4A5765"/>
                <w:sz w:val="20"/>
              </w:rPr>
              <w:t xml:space="preserve">Y al revés: la popularidad en la ruta —la única señal del sistema de hoy— aporta </w:t>
            </w:r>
            <w:r>
              <w:rPr>
                <w:rFonts w:ascii="Calibri" w:hAnsi="Calibri"/>
                <w:b/>
                <w:i w:val="0"/>
                <w:color w:val="4A5765"/>
                <w:sz w:val="20"/>
              </w:rPr>
              <w:t>1,7 %</w:t>
            </w:r>
            <w:r>
              <w:rPr>
                <w:rFonts w:ascii="Calibri" w:hAnsi="Calibri"/>
                <w:b w:val="0"/>
                <w:i w:val="0"/>
                <w:color w:val="4A5765"/>
                <w:sz w:val="20"/>
              </w:rPr>
              <w:t>. No es que no sirva: es que ya está exprimida, y lo que queda por ganar está en otro lado.</w:t>
            </w:r>
          </w:p>
        </w:tc>
      </w:tr>
    </w:tbl>
    <w:p>
      <w:pPr>
        <w:spacing w:before="0" w:after="120" w:line="293" w:lineRule="auto"/>
      </w:pPr>
    </w:p>
    <w:p>
      <w:pPr>
        <w:keepNext/>
        <w:spacing w:before="440" w:after="40" w:line="293" w:lineRule="auto"/>
      </w:pPr>
      <w:r>
        <w:rPr>
          <w:rFonts w:ascii="Consolas" w:hAnsi="Consolas"/>
          <w:b/>
          <w:i w:val="0"/>
          <w:color w:val="2A78D6"/>
          <w:sz w:val="18"/>
        </w:rPr>
        <w:t>05 · RESULTADOS</w:t>
      </w:r>
    </w:p>
    <w:p>
      <w:pPr>
        <w:pStyle w:val="Heading1"/>
        <w:spacing w:before="400" w:after="140"/>
      </w:pPr>
      <w:r>
        <w:rPr>
          <w:rFonts w:ascii="Calibri" w:hAnsi="Calibri"/>
          <w:b/>
          <w:i w:val="0"/>
          <w:color w:val="10161D"/>
          <w:sz w:val="34"/>
        </w:rPr>
        <w:t>El modelo supera al sistema actual en 10 puntos</w:t>
      </w:r>
    </w:p>
    <w:p>
      <w:pPr>
        <w:spacing w:before="0" w:after="240" w:line="293" w:lineRule="auto"/>
      </w:pPr>
      <w:r>
        <w:rPr>
          <w:rFonts w:ascii="Calibri" w:hAnsi="Calibri"/>
          <w:b w:val="0"/>
          <w:i w:val="0"/>
          <w:color w:val="10161D"/>
          <w:sz w:val="23"/>
        </w:rPr>
        <w:t xml:space="preserve">De cada 100 clientes visitados, el sistema actual le atina a algo nuevo en </w:t>
      </w:r>
      <w:r>
        <w:rPr>
          <w:rFonts w:ascii="Calibri" w:hAnsi="Calibri"/>
          <w:b/>
          <w:i w:val="0"/>
          <w:color w:val="10161D"/>
          <w:sz w:val="23"/>
        </w:rPr>
        <w:t>49</w:t>
      </w:r>
      <w:r>
        <w:rPr>
          <w:rFonts w:ascii="Calibri" w:hAnsi="Calibri"/>
          <w:b w:val="0"/>
          <w:i w:val="0"/>
          <w:color w:val="10161D"/>
          <w:sz w:val="23"/>
        </w:rPr>
        <w:t xml:space="preserve">. El modelo entrenado, en </w:t>
      </w:r>
      <w:r>
        <w:rPr>
          <w:rFonts w:ascii="Calibri" w:hAnsi="Calibri"/>
          <w:b/>
          <w:i w:val="0"/>
          <w:color w:val="10161D"/>
          <w:sz w:val="23"/>
        </w:rPr>
        <w:t>59</w:t>
      </w:r>
      <w:r>
        <w:rPr>
          <w:rFonts w:ascii="Calibri" w:hAnsi="Calibri"/>
          <w:b w:val="0"/>
          <w:i w:val="0"/>
          <w:color w:val="10161D"/>
          <w:sz w:val="23"/>
        </w:rPr>
        <w:t>.</w:t>
      </w:r>
    </w:p>
    <w:tbl>
      <w:tblPr>
        <w:tblW w:type="pct" w:w="500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ayout w:type="fixed"/>
        <w:tblCellMar>
          <w:top w:w="40" w:type="dxa"/>
          <w:left w:w="40" w:type="dxa"/>
          <w:bottom w:w="40" w:type="dxa"/>
          <w:right w:w="40" w:type="dxa"/>
        </w:tblCellMar>
        <w:tblLook w:firstColumn="1" w:firstRow="1" w:lastColumn="0" w:lastRow="0" w:noHBand="0" w:noVBand="1" w:val="04A0"/>
      </w:tblPr>
      <w:tblGrid>
        <w:gridCol w:w="2324"/>
        <w:gridCol w:w="2324"/>
        <w:gridCol w:w="2324"/>
        <w:gridCol w:w="2324"/>
      </w:tblGrid>
      <w:tr>
        <w:trPr>
          <w:cantSplit/>
        </w:trPr>
        <w:tc>
          <w:tcPr>
            <w:tcW w:type="dxa" w:w="2324"/>
          </w:tcPr>
          <w:p>
            <w:pPr>
              <w:spacing w:after="0"/>
            </w:pPr>
            <w:r>
              <w:rPr>
                <w:rFonts w:ascii="Consolas" w:hAnsi="Consolas"/>
                <w:b/>
                <w:i w:val="0"/>
                <w:color w:val="10161D"/>
                <w:sz w:val="30"/>
              </w:rPr>
              <w:t>48,7 %</w:t>
            </w:r>
          </w:p>
        </w:tc>
        <w:tc>
          <w:tcPr>
            <w:tcW w:type="dxa" w:w="2324"/>
          </w:tcPr>
          <w:p>
            <w:pPr>
              <w:spacing w:after="0"/>
            </w:pPr>
            <w:r>
              <w:rPr>
                <w:rFonts w:ascii="Consolas" w:hAnsi="Consolas"/>
                <w:b/>
                <w:i w:val="0"/>
                <w:color w:val="2A78D6"/>
                <w:sz w:val="30"/>
              </w:rPr>
              <w:t>58,8 %</w:t>
            </w:r>
          </w:p>
        </w:tc>
        <w:tc>
          <w:tcPr>
            <w:tcW w:type="dxa" w:w="2324"/>
          </w:tcPr>
          <w:p>
            <w:pPr>
              <w:spacing w:after="0"/>
            </w:pPr>
            <w:r>
              <w:rPr>
                <w:rFonts w:ascii="Consolas" w:hAnsi="Consolas"/>
                <w:b/>
                <w:i w:val="0"/>
                <w:color w:val="10161D"/>
                <w:sz w:val="30"/>
              </w:rPr>
              <w:t>+10,12</w:t>
            </w:r>
          </w:p>
        </w:tc>
        <w:tc>
          <w:tcPr>
            <w:tcW w:type="dxa" w:w="2324"/>
          </w:tcPr>
          <w:p>
            <w:pPr>
              <w:spacing w:after="0"/>
            </w:pPr>
            <w:r>
              <w:rPr>
                <w:rFonts w:ascii="Consolas" w:hAnsi="Consolas"/>
                <w:b/>
                <w:i w:val="0"/>
                <w:color w:val="10161D"/>
                <w:sz w:val="30"/>
              </w:rPr>
              <w:t>0,36</w:t>
            </w:r>
          </w:p>
        </w:tc>
      </w:tr>
      <w:tr>
        <w:trPr>
          <w:cantSplit/>
        </w:trPr>
        <w:tc>
          <w:tcPr>
            <w:tcW w:type="dxa" w:w="2324"/>
          </w:tcPr>
          <w:p>
            <w:pPr>
              <w:spacing w:after="0"/>
            </w:pPr>
            <w:r>
              <w:rPr>
                <w:rFonts w:ascii="Calibri" w:hAnsi="Calibri"/>
                <w:b w:val="0"/>
                <w:i w:val="0"/>
                <w:color w:val="78848F"/>
                <w:sz w:val="16"/>
              </w:rPr>
              <w:t>sistema actual (B1)</w:t>
            </w:r>
          </w:p>
        </w:tc>
        <w:tc>
          <w:tcPr>
            <w:tcW w:type="dxa" w:w="2324"/>
          </w:tcPr>
          <w:p>
            <w:pPr>
              <w:spacing w:after="0"/>
            </w:pPr>
            <w:r>
              <w:rPr>
                <w:rFonts w:ascii="Calibri" w:hAnsi="Calibri"/>
                <w:b w:val="0"/>
                <w:i w:val="0"/>
                <w:color w:val="78848F"/>
                <w:sz w:val="16"/>
              </w:rPr>
              <w:t>modelo entrenado (P3)</w:t>
            </w:r>
          </w:p>
        </w:tc>
        <w:tc>
          <w:tcPr>
            <w:tcW w:type="dxa" w:w="2324"/>
          </w:tcPr>
          <w:p>
            <w:pPr>
              <w:spacing w:after="0"/>
            </w:pPr>
            <w:r>
              <w:rPr>
                <w:rFonts w:ascii="Calibri" w:hAnsi="Calibri"/>
                <w:b w:val="0"/>
                <w:i w:val="0"/>
                <w:color w:val="78848F"/>
                <w:sz w:val="16"/>
              </w:rPr>
              <w:t>puntos de mejora</w:t>
            </w:r>
          </w:p>
        </w:tc>
        <w:tc>
          <w:tcPr>
            <w:tcW w:type="dxa" w:w="2324"/>
          </w:tcPr>
          <w:p>
            <w:pPr>
              <w:spacing w:after="0"/>
            </w:pPr>
            <w:r>
              <w:rPr>
                <w:rFonts w:ascii="Calibri" w:hAnsi="Calibri"/>
                <w:b w:val="0"/>
                <w:i w:val="0"/>
                <w:color w:val="78848F"/>
                <w:sz w:val="16"/>
              </w:rPr>
              <w:t>SKU extra por compra</w:t>
            </w:r>
          </w:p>
        </w:tc>
      </w:tr>
    </w:tbl>
    <w:p>
      <w:pPr>
        <w:spacing w:before="0" w:after="120" w:line="293" w:lineRule="auto"/>
      </w:pPr>
    </w:p>
    <w:p>
      <w:pPr>
        <w:keepNext/>
        <w:spacing w:before="120" w:after="80"/>
        <w:jc w:val="center"/>
      </w:pPr>
      <w:r>
        <w:drawing>
          <wp:inline xmlns:a="http://schemas.openxmlformats.org/drawingml/2006/main" xmlns:pic="http://schemas.openxmlformats.org/drawingml/2006/picture">
            <wp:extent cx="5903999" cy="1758900"/>
            <wp:docPr id="2" name="Picture 2"/>
            <wp:cNvGraphicFramePr>
              <a:graphicFrameLocks noChangeAspect="1"/>
            </wp:cNvGraphicFramePr>
            <a:graphic>
              <a:graphicData uri="http://schemas.openxmlformats.org/drawingml/2006/picture">
                <pic:pic>
                  <pic:nvPicPr>
                    <pic:cNvPr id="0" name="g2.png"/>
                    <pic:cNvPicPr/>
                  </pic:nvPicPr>
                  <pic:blipFill>
                    <a:blip r:embed="rId11"/>
                    <a:stretch>
                      <a:fillRect/>
                    </a:stretch>
                  </pic:blipFill>
                  <pic:spPr>
                    <a:xfrm>
                      <a:off x="0" y="0"/>
                      <a:ext cx="5903999" cy="1758900"/>
                    </a:xfrm>
                    <a:prstGeom prst="rect"/>
                  </pic:spPr>
                </pic:pic>
              </a:graphicData>
            </a:graphic>
          </wp:inline>
        </w:drawing>
      </w:r>
    </w:p>
    <w:p>
      <w:pPr>
        <w:spacing w:after="240"/>
        <w:jc w:val="center"/>
      </w:pPr>
      <w:r>
        <w:rPr>
          <w:rFonts w:ascii="Calibri" w:hAnsi="Calibri"/>
          <w:b w:val="0"/>
          <w:i/>
          <w:color w:val="78848F"/>
          <w:sz w:val="17"/>
        </w:rPr>
        <w:t>Productos acertados por cada modelo</w:t>
      </w:r>
    </w:p>
    <w:p>
      <w:pPr>
        <w:pStyle w:val="Heading2"/>
        <w:spacing w:before="340" w:after="100"/>
      </w:pPr>
      <w:r>
        <w:rPr>
          <w:rFonts w:ascii="Calibri" w:hAnsi="Calibri"/>
          <w:b/>
          <w:i w:val="0"/>
          <w:color w:val="10161D"/>
          <w:sz w:val="26"/>
        </w:rPr>
        <w:t>Cuántos productos acertó cada modelo</w:t>
      </w:r>
    </w:p>
    <w:p>
      <w:pPr>
        <w:spacing w:before="0" w:after="200" w:line="293" w:lineRule="auto"/>
      </w:pPr>
      <w:r>
        <w:rPr>
          <w:rFonts w:ascii="Calibri" w:hAnsi="Calibri"/>
          <w:b w:val="0"/>
          <w:i w:val="0"/>
          <w:color w:val="4A5765"/>
          <w:sz w:val="21"/>
        </w:rPr>
        <w:t xml:space="preserve">Sobre 24.578 clientes y 8 sugerencias a cada uno. </w:t>
      </w:r>
      <w:r>
        <w:rPr>
          <w:rFonts w:ascii="Calibri" w:hAnsi="Calibri"/>
          <w:b/>
          <w:i w:val="0"/>
          <w:color w:val="4A5765"/>
          <w:sz w:val="21"/>
        </w:rPr>
        <w:t>«SKU acertados» es el total de productos sugeridos que el cliente efectivamente compró</w:t>
      </w:r>
      <w:r>
        <w:rPr>
          <w:rFonts w:ascii="Calibri" w:hAnsi="Calibri"/>
          <w:b w:val="0"/>
          <w:i w:val="0"/>
          <w:color w:val="4A5765"/>
          <w:sz w:val="21"/>
        </w:rPr>
        <w:t xml:space="preserve"> ese mes.</w:t>
      </w:r>
    </w:p>
    <w:tbl>
      <w:tblPr>
        <w:tblW w:type="pct" w:w="5000"/>
        <w:jc w:val="left"/>
        <w:tblBorders>
          <w:top w:val="single" w:sz="6" w:space="0" w:color="10161D"/>
          <w:left w:val="none" w:sz="0" w:space="0" w:color="auto"/>
          <w:bottom w:val="single" w:sz="6" w:space="0" w:color="10161D"/>
          <w:right w:val="none" w:sz="0" w:space="0" w:color="auto"/>
          <w:insideH w:val="single" w:sz="4" w:space="0" w:color="E7ECF1"/>
          <w:insideV w:val="none" w:sz="0" w:space="0" w:color="auto"/>
        </w:tblBorders>
        <w:tblCellMar>
          <w:top w:w="70" w:type="dxa"/>
          <w:left w:w="100" w:type="dxa"/>
          <w:bottom w:w="70" w:type="dxa"/>
          <w:right w:w="100" w:type="dxa"/>
        </w:tblCellMar>
        <w:tblLook w:firstColumn="1" w:firstRow="1" w:lastColumn="0" w:lastRow="0" w:noHBand="0" w:noVBand="1" w:val="04A0"/>
      </w:tblPr>
      <w:tblGrid>
        <w:gridCol w:w="1904"/>
        <w:gridCol w:w="1904"/>
        <w:gridCol w:w="1904"/>
        <w:gridCol w:w="1904"/>
        <w:gridCol w:w="1904"/>
      </w:tblGrid>
      <w:tr>
        <w:trPr>
          <w:cantSplit/>
        </w:trPr>
        <w:tc>
          <w:tcPr>
            <w:tcW w:type="dxa" w:w="1904"/>
            <w:shd w:val="clear" w:fill="EEF1F5"/>
          </w:tcPr>
          <w:p>
            <w:pPr>
              <w:spacing w:after="40"/>
            </w:pPr>
            <w:r>
              <w:rPr>
                <w:rFonts w:ascii="Calibri" w:hAnsi="Calibri"/>
                <w:b/>
                <w:i w:val="0"/>
                <w:color w:val="10161D"/>
                <w:sz w:val="18"/>
              </w:rPr>
              <w:t>Modelo</w:t>
            </w:r>
          </w:p>
        </w:tc>
        <w:tc>
          <w:tcPr>
            <w:tcW w:type="dxa" w:w="1904"/>
            <w:shd w:val="clear" w:fill="EEF1F5"/>
          </w:tcPr>
          <w:p>
            <w:pPr>
              <w:spacing w:after="40"/>
              <w:jc w:val="right"/>
            </w:pPr>
            <w:r>
              <w:rPr>
                <w:rFonts w:ascii="Calibri" w:hAnsi="Calibri"/>
                <w:b/>
                <w:i w:val="0"/>
                <w:color w:val="10161D"/>
                <w:sz w:val="18"/>
              </w:rPr>
              <w:t>SKU acertados</w:t>
            </w:r>
          </w:p>
        </w:tc>
        <w:tc>
          <w:tcPr>
            <w:tcW w:type="dxa" w:w="1904"/>
            <w:shd w:val="clear" w:fill="EEF1F5"/>
          </w:tcPr>
          <w:p>
            <w:pPr>
              <w:spacing w:after="40"/>
              <w:jc w:val="right"/>
            </w:pPr>
            <w:r>
              <w:rPr>
                <w:rFonts w:ascii="Calibri" w:hAnsi="Calibri"/>
                <w:b/>
                <w:i w:val="0"/>
                <w:color w:val="10161D"/>
                <w:sz w:val="18"/>
              </w:rPr>
              <w:t>vs actual</w:t>
            </w:r>
          </w:p>
        </w:tc>
        <w:tc>
          <w:tcPr>
            <w:tcW w:type="dxa" w:w="1904"/>
            <w:shd w:val="clear" w:fill="EEF1F5"/>
          </w:tcPr>
          <w:p>
            <w:pPr>
              <w:spacing w:after="40"/>
              <w:jc w:val="right"/>
            </w:pPr>
            <w:r>
              <w:rPr>
                <w:rFonts w:ascii="Calibri" w:hAnsi="Calibri"/>
                <w:b/>
                <w:i w:val="0"/>
                <w:color w:val="10161D"/>
                <w:sz w:val="18"/>
              </w:rPr>
              <w:t>Clientes con acierto</w:t>
            </w:r>
          </w:p>
        </w:tc>
        <w:tc>
          <w:tcPr>
            <w:tcW w:type="dxa" w:w="1904"/>
            <w:shd w:val="clear" w:fill="EEF1F5"/>
          </w:tcPr>
          <w:p>
            <w:pPr>
              <w:spacing w:after="40"/>
              <w:jc w:val="right"/>
            </w:pPr>
            <w:r>
              <w:rPr>
                <w:rFonts w:ascii="Calibri" w:hAnsi="Calibri"/>
                <w:b/>
                <w:i w:val="0"/>
                <w:color w:val="10161D"/>
                <w:sz w:val="18"/>
              </w:rPr>
              <w:t>vs actual</w:t>
            </w:r>
          </w:p>
        </w:tc>
      </w:tr>
      <w:tr>
        <w:trPr>
          <w:cantSplit/>
        </w:trPr>
        <w:tc>
          <w:tcPr>
            <w:tcW w:type="dxa" w:w="1904"/>
          </w:tcPr>
          <w:p>
            <w:pPr>
              <w:spacing w:after="40"/>
            </w:pPr>
            <w:r>
              <w:rPr>
                <w:rFonts w:ascii="Calibri" w:hAnsi="Calibri"/>
                <w:b w:val="0"/>
                <w:i w:val="0"/>
                <w:color w:val="4A5765"/>
                <w:sz w:val="19"/>
              </w:rPr>
              <w:t>B0 · popularidad global</w:t>
            </w:r>
          </w:p>
        </w:tc>
        <w:tc>
          <w:tcPr>
            <w:tcW w:type="dxa" w:w="1904"/>
          </w:tcPr>
          <w:p>
            <w:pPr>
              <w:spacing w:after="40"/>
              <w:jc w:val="right"/>
            </w:pPr>
            <w:r>
              <w:rPr>
                <w:rFonts w:ascii="Consolas" w:hAnsi="Consolas"/>
                <w:b w:val="0"/>
                <w:i w:val="0"/>
                <w:color w:val="4A5765"/>
                <w:sz w:val="19"/>
              </w:rPr>
              <w:t>13.757</w:t>
            </w:r>
          </w:p>
        </w:tc>
        <w:tc>
          <w:tcPr>
            <w:tcW w:type="dxa" w:w="1904"/>
          </w:tcPr>
          <w:p>
            <w:pPr>
              <w:spacing w:after="40"/>
              <w:jc w:val="right"/>
            </w:pPr>
            <w:r>
              <w:rPr>
                <w:rFonts w:ascii="Consolas" w:hAnsi="Consolas"/>
                <w:b w:val="0"/>
                <w:i w:val="0"/>
                <w:color w:val="4A5765"/>
                <w:sz w:val="19"/>
              </w:rPr>
              <w:t>−10.457</w:t>
            </w:r>
          </w:p>
        </w:tc>
        <w:tc>
          <w:tcPr>
            <w:tcW w:type="dxa" w:w="1904"/>
          </w:tcPr>
          <w:p>
            <w:pPr>
              <w:spacing w:after="40"/>
              <w:jc w:val="right"/>
            </w:pPr>
            <w:r>
              <w:rPr>
                <w:rFonts w:ascii="Consolas" w:hAnsi="Consolas"/>
                <w:b w:val="0"/>
                <w:i w:val="0"/>
                <w:color w:val="4A5765"/>
                <w:sz w:val="19"/>
              </w:rPr>
              <w:t>37,22 %</w:t>
            </w:r>
          </w:p>
        </w:tc>
        <w:tc>
          <w:tcPr>
            <w:tcW w:type="dxa" w:w="1904"/>
          </w:tcPr>
          <w:p>
            <w:pPr>
              <w:spacing w:after="40"/>
              <w:jc w:val="right"/>
            </w:pPr>
            <w:r>
              <w:rPr>
                <w:rFonts w:ascii="Consolas" w:hAnsi="Consolas"/>
                <w:b w:val="0"/>
                <w:i w:val="0"/>
                <w:color w:val="4A5765"/>
                <w:sz w:val="19"/>
              </w:rPr>
              <w:t>−11,45</w:t>
            </w:r>
          </w:p>
        </w:tc>
      </w:tr>
      <w:tr>
        <w:trPr>
          <w:cantSplit/>
        </w:trPr>
        <w:tc>
          <w:tcPr>
            <w:tcW w:type="dxa" w:w="1904"/>
          </w:tcPr>
          <w:p>
            <w:pPr>
              <w:spacing w:after="40"/>
            </w:pPr>
            <w:r>
              <w:rPr>
                <w:rFonts w:ascii="Calibri" w:hAnsi="Calibri"/>
                <w:b/>
                <w:i w:val="0"/>
                <w:color w:val="10161D"/>
                <w:sz w:val="19"/>
              </w:rPr>
              <w:t>B1 · popularidad de ruta</w:t>
            </w:r>
          </w:p>
        </w:tc>
        <w:tc>
          <w:tcPr>
            <w:tcW w:type="dxa" w:w="1904"/>
          </w:tcPr>
          <w:p>
            <w:pPr>
              <w:spacing w:after="40"/>
              <w:jc w:val="right"/>
            </w:pPr>
            <w:r>
              <w:rPr>
                <w:rFonts w:ascii="Consolas" w:hAnsi="Consolas"/>
                <w:b/>
                <w:i w:val="0"/>
                <w:color w:val="10161D"/>
                <w:sz w:val="19"/>
              </w:rPr>
              <w:t>24.214</w:t>
            </w:r>
          </w:p>
        </w:tc>
        <w:tc>
          <w:tcPr>
            <w:tcW w:type="dxa" w:w="1904"/>
          </w:tcPr>
          <w:p>
            <w:pPr>
              <w:spacing w:after="40"/>
              <w:jc w:val="right"/>
            </w:pPr>
            <w:r>
              <w:rPr>
                <w:rFonts w:ascii="Consolas" w:hAnsi="Consolas"/>
                <w:b/>
                <w:i w:val="0"/>
                <w:color w:val="10161D"/>
                <w:sz w:val="19"/>
              </w:rPr>
              <w:t>—</w:t>
            </w:r>
          </w:p>
        </w:tc>
        <w:tc>
          <w:tcPr>
            <w:tcW w:type="dxa" w:w="1904"/>
          </w:tcPr>
          <w:p>
            <w:pPr>
              <w:spacing w:after="40"/>
              <w:jc w:val="right"/>
            </w:pPr>
            <w:r>
              <w:rPr>
                <w:rFonts w:ascii="Consolas" w:hAnsi="Consolas"/>
                <w:b/>
                <w:i w:val="0"/>
                <w:color w:val="10161D"/>
                <w:sz w:val="19"/>
              </w:rPr>
              <w:t>48,67 %</w:t>
            </w:r>
          </w:p>
        </w:tc>
        <w:tc>
          <w:tcPr>
            <w:tcW w:type="dxa" w:w="1904"/>
          </w:tcPr>
          <w:p>
            <w:pPr>
              <w:spacing w:after="40"/>
              <w:jc w:val="right"/>
            </w:pPr>
            <w:r>
              <w:rPr>
                <w:rFonts w:ascii="Consolas" w:hAnsi="Consolas"/>
                <w:b/>
                <w:i w:val="0"/>
                <w:color w:val="10161D"/>
                <w:sz w:val="19"/>
              </w:rPr>
              <w:t>—</w:t>
            </w:r>
          </w:p>
        </w:tc>
      </w:tr>
      <w:tr>
        <w:trPr>
          <w:cantSplit/>
        </w:trPr>
        <w:tc>
          <w:tcPr>
            <w:tcW w:type="dxa" w:w="1904"/>
          </w:tcPr>
          <w:p>
            <w:pPr>
              <w:spacing w:after="40"/>
            </w:pPr>
            <w:r>
              <w:rPr>
                <w:rFonts w:ascii="Calibri" w:hAnsi="Calibri"/>
                <w:b w:val="0"/>
                <w:i w:val="0"/>
                <w:color w:val="4A5765"/>
                <w:sz w:val="19"/>
              </w:rPr>
              <w:t>P1 · ruta + marca</w:t>
            </w:r>
          </w:p>
        </w:tc>
        <w:tc>
          <w:tcPr>
            <w:tcW w:type="dxa" w:w="1904"/>
          </w:tcPr>
          <w:p>
            <w:pPr>
              <w:spacing w:after="40"/>
              <w:jc w:val="right"/>
            </w:pPr>
            <w:r>
              <w:rPr>
                <w:rFonts w:ascii="Consolas" w:hAnsi="Consolas"/>
                <w:b w:val="0"/>
                <w:i w:val="0"/>
                <w:color w:val="4A5765"/>
                <w:sz w:val="19"/>
              </w:rPr>
              <w:t>24.858</w:t>
            </w:r>
          </w:p>
        </w:tc>
        <w:tc>
          <w:tcPr>
            <w:tcW w:type="dxa" w:w="1904"/>
          </w:tcPr>
          <w:p>
            <w:pPr>
              <w:spacing w:after="40"/>
              <w:jc w:val="right"/>
            </w:pPr>
            <w:r>
              <w:rPr>
                <w:rFonts w:ascii="Consolas" w:hAnsi="Consolas"/>
                <w:b w:val="0"/>
                <w:i w:val="0"/>
                <w:color w:val="4A5765"/>
                <w:sz w:val="19"/>
              </w:rPr>
              <w:t>+644</w:t>
            </w:r>
          </w:p>
        </w:tc>
        <w:tc>
          <w:tcPr>
            <w:tcW w:type="dxa" w:w="1904"/>
          </w:tcPr>
          <w:p>
            <w:pPr>
              <w:spacing w:after="40"/>
              <w:jc w:val="right"/>
            </w:pPr>
            <w:r>
              <w:rPr>
                <w:rFonts w:ascii="Consolas" w:hAnsi="Consolas"/>
                <w:b w:val="0"/>
                <w:i w:val="0"/>
                <w:color w:val="4A5765"/>
                <w:sz w:val="19"/>
              </w:rPr>
              <w:t>50,93 %</w:t>
            </w:r>
          </w:p>
        </w:tc>
        <w:tc>
          <w:tcPr>
            <w:tcW w:type="dxa" w:w="1904"/>
          </w:tcPr>
          <w:p>
            <w:pPr>
              <w:spacing w:after="40"/>
              <w:jc w:val="right"/>
            </w:pPr>
            <w:r>
              <w:rPr>
                <w:rFonts w:ascii="Consolas" w:hAnsi="Consolas"/>
                <w:b w:val="0"/>
                <w:i w:val="0"/>
                <w:color w:val="4A5765"/>
                <w:sz w:val="19"/>
              </w:rPr>
              <w:t>+2,26</w:t>
            </w:r>
          </w:p>
        </w:tc>
      </w:tr>
      <w:tr>
        <w:trPr>
          <w:cantSplit/>
        </w:trPr>
        <w:tc>
          <w:tcPr>
            <w:tcW w:type="dxa" w:w="1904"/>
          </w:tcPr>
          <w:p>
            <w:pPr>
              <w:spacing w:after="40"/>
            </w:pPr>
            <w:r>
              <w:rPr>
                <w:rFonts w:ascii="Calibri" w:hAnsi="Calibri"/>
                <w:b w:val="0"/>
                <w:i w:val="0"/>
                <w:color w:val="4A5765"/>
                <w:sz w:val="19"/>
              </w:rPr>
              <w:t>P2 · afinidad</w:t>
            </w:r>
          </w:p>
        </w:tc>
        <w:tc>
          <w:tcPr>
            <w:tcW w:type="dxa" w:w="1904"/>
          </w:tcPr>
          <w:p>
            <w:pPr>
              <w:spacing w:after="40"/>
              <w:jc w:val="right"/>
            </w:pPr>
            <w:r>
              <w:rPr>
                <w:rFonts w:ascii="Consolas" w:hAnsi="Consolas"/>
                <w:b w:val="0"/>
                <w:i w:val="0"/>
                <w:color w:val="4A5765"/>
                <w:sz w:val="19"/>
              </w:rPr>
              <w:t>28.891</w:t>
            </w:r>
          </w:p>
        </w:tc>
        <w:tc>
          <w:tcPr>
            <w:tcW w:type="dxa" w:w="1904"/>
          </w:tcPr>
          <w:p>
            <w:pPr>
              <w:spacing w:after="40"/>
              <w:jc w:val="right"/>
            </w:pPr>
            <w:r>
              <w:rPr>
                <w:rFonts w:ascii="Consolas" w:hAnsi="Consolas"/>
                <w:b w:val="0"/>
                <w:i w:val="0"/>
                <w:color w:val="4A5765"/>
                <w:sz w:val="19"/>
              </w:rPr>
              <w:t>+4.677</w:t>
            </w:r>
          </w:p>
        </w:tc>
        <w:tc>
          <w:tcPr>
            <w:tcW w:type="dxa" w:w="1904"/>
          </w:tcPr>
          <w:p>
            <w:pPr>
              <w:spacing w:after="40"/>
              <w:jc w:val="right"/>
            </w:pPr>
            <w:r>
              <w:rPr>
                <w:rFonts w:ascii="Consolas" w:hAnsi="Consolas"/>
                <w:b w:val="0"/>
                <w:i w:val="0"/>
                <w:color w:val="4A5765"/>
                <w:sz w:val="19"/>
              </w:rPr>
              <w:t>52,00 %</w:t>
            </w:r>
          </w:p>
        </w:tc>
        <w:tc>
          <w:tcPr>
            <w:tcW w:type="dxa" w:w="1904"/>
          </w:tcPr>
          <w:p>
            <w:pPr>
              <w:spacing w:after="40"/>
              <w:jc w:val="right"/>
            </w:pPr>
            <w:r>
              <w:rPr>
                <w:rFonts w:ascii="Consolas" w:hAnsi="Consolas"/>
                <w:b w:val="0"/>
                <w:i w:val="0"/>
                <w:color w:val="4A5765"/>
                <w:sz w:val="19"/>
              </w:rPr>
              <w:t>+3,33</w:t>
            </w:r>
          </w:p>
        </w:tc>
      </w:tr>
      <w:tr>
        <w:trPr>
          <w:cantSplit/>
        </w:trPr>
        <w:tc>
          <w:tcPr>
            <w:tcW w:type="dxa" w:w="1904"/>
          </w:tcPr>
          <w:p>
            <w:pPr>
              <w:spacing w:after="40"/>
            </w:pPr>
            <w:r>
              <w:rPr>
                <w:rFonts w:ascii="Calibri" w:hAnsi="Calibri"/>
                <w:b w:val="0"/>
                <w:i w:val="0"/>
                <w:color w:val="4A5765"/>
                <w:sz w:val="19"/>
              </w:rPr>
              <w:t>P3 · ranker</w:t>
            </w:r>
          </w:p>
        </w:tc>
        <w:tc>
          <w:tcPr>
            <w:tcW w:type="dxa" w:w="1904"/>
          </w:tcPr>
          <w:p>
            <w:pPr>
              <w:spacing w:after="40"/>
              <w:jc w:val="right"/>
            </w:pPr>
            <w:r>
              <w:rPr>
                <w:rFonts w:ascii="Consolas" w:hAnsi="Consolas"/>
                <w:b w:val="0"/>
                <w:i w:val="0"/>
                <w:color w:val="4A5765"/>
                <w:sz w:val="19"/>
              </w:rPr>
              <w:t>30.418</w:t>
            </w:r>
          </w:p>
        </w:tc>
        <w:tc>
          <w:tcPr>
            <w:tcW w:type="dxa" w:w="1904"/>
          </w:tcPr>
          <w:p>
            <w:pPr>
              <w:spacing w:after="40"/>
              <w:jc w:val="right"/>
            </w:pPr>
            <w:r>
              <w:rPr>
                <w:rFonts w:ascii="Consolas" w:hAnsi="Consolas"/>
                <w:b w:val="0"/>
                <w:i w:val="0"/>
                <w:color w:val="4A5765"/>
                <w:sz w:val="19"/>
              </w:rPr>
              <w:t>+6.204</w:t>
            </w:r>
          </w:p>
        </w:tc>
        <w:tc>
          <w:tcPr>
            <w:tcW w:type="dxa" w:w="1904"/>
          </w:tcPr>
          <w:p>
            <w:pPr>
              <w:spacing w:after="40"/>
              <w:jc w:val="right"/>
            </w:pPr>
            <w:r>
              <w:rPr>
                <w:rFonts w:ascii="Consolas" w:hAnsi="Consolas"/>
                <w:b w:val="0"/>
                <w:i w:val="0"/>
                <w:color w:val="4A5765"/>
                <w:sz w:val="19"/>
              </w:rPr>
              <w:t>58,79 %</w:t>
            </w:r>
          </w:p>
        </w:tc>
        <w:tc>
          <w:tcPr>
            <w:tcW w:type="dxa" w:w="1904"/>
          </w:tcPr>
          <w:p>
            <w:pPr>
              <w:spacing w:after="40"/>
              <w:jc w:val="right"/>
            </w:pPr>
            <w:r>
              <w:rPr>
                <w:rFonts w:ascii="Consolas" w:hAnsi="Consolas"/>
                <w:b w:val="0"/>
                <w:i w:val="0"/>
                <w:color w:val="4A5765"/>
                <w:sz w:val="19"/>
              </w:rPr>
              <w:t>+10,12</w:t>
            </w:r>
          </w:p>
        </w:tc>
      </w:tr>
      <w:tr>
        <w:trPr>
          <w:cantSplit/>
        </w:trPr>
        <w:tc>
          <w:tcPr>
            <w:tcW w:type="dxa" w:w="1904"/>
          </w:tcPr>
          <w:p>
            <w:pPr>
              <w:spacing w:after="40"/>
            </w:pPr>
            <w:r>
              <w:rPr>
                <w:rFonts w:ascii="Calibri" w:hAnsi="Calibri"/>
                <w:b w:val="0"/>
                <w:i w:val="0"/>
                <w:color w:val="4A5765"/>
                <w:sz w:val="19"/>
              </w:rPr>
              <w:t>P4 · por segmento</w:t>
            </w:r>
          </w:p>
        </w:tc>
        <w:tc>
          <w:tcPr>
            <w:tcW w:type="dxa" w:w="1904"/>
          </w:tcPr>
          <w:p>
            <w:pPr>
              <w:spacing w:after="40"/>
              <w:jc w:val="right"/>
            </w:pPr>
            <w:r>
              <w:rPr>
                <w:rFonts w:ascii="Consolas" w:hAnsi="Consolas"/>
                <w:b w:val="0"/>
                <w:i w:val="0"/>
                <w:color w:val="4A5765"/>
                <w:sz w:val="19"/>
              </w:rPr>
              <w:t>31.214</w:t>
            </w:r>
          </w:p>
        </w:tc>
        <w:tc>
          <w:tcPr>
            <w:tcW w:type="dxa" w:w="1904"/>
          </w:tcPr>
          <w:p>
            <w:pPr>
              <w:spacing w:after="40"/>
              <w:jc w:val="right"/>
            </w:pPr>
            <w:r>
              <w:rPr>
                <w:rFonts w:ascii="Consolas" w:hAnsi="Consolas"/>
                <w:b w:val="0"/>
                <w:i w:val="0"/>
                <w:color w:val="4A5765"/>
                <w:sz w:val="19"/>
              </w:rPr>
              <w:t>+7.000</w:t>
            </w:r>
          </w:p>
        </w:tc>
        <w:tc>
          <w:tcPr>
            <w:tcW w:type="dxa" w:w="1904"/>
          </w:tcPr>
          <w:p>
            <w:pPr>
              <w:spacing w:after="40"/>
              <w:jc w:val="right"/>
            </w:pPr>
            <w:r>
              <w:rPr>
                <w:rFonts w:ascii="Consolas" w:hAnsi="Consolas"/>
                <w:b w:val="0"/>
                <w:i w:val="0"/>
                <w:color w:val="4A5765"/>
                <w:sz w:val="19"/>
              </w:rPr>
              <w:t>58,95 %</w:t>
            </w:r>
          </w:p>
        </w:tc>
        <w:tc>
          <w:tcPr>
            <w:tcW w:type="dxa" w:w="1904"/>
          </w:tcPr>
          <w:p>
            <w:pPr>
              <w:spacing w:after="40"/>
              <w:jc w:val="right"/>
            </w:pPr>
            <w:r>
              <w:rPr>
                <w:rFonts w:ascii="Consolas" w:hAnsi="Consolas"/>
                <w:b w:val="0"/>
                <w:i w:val="0"/>
                <w:color w:val="4A5765"/>
                <w:sz w:val="19"/>
              </w:rPr>
              <w:t>+10,28</w:t>
            </w:r>
          </w:p>
        </w:tc>
      </w:tr>
    </w:tbl>
    <w:p>
      <w:pPr>
        <w:spacing w:before="0" w:after="80" w:line="293" w:lineRule="auto"/>
      </w:pPr>
    </w:p>
    <w:p>
      <w:pPr>
        <w:spacing w:before="0" w:after="200" w:line="293" w:lineRule="auto"/>
      </w:pPr>
      <w:r>
        <w:rPr>
          <w:rFonts w:ascii="Calibri" w:hAnsi="Calibri"/>
          <w:b/>
          <w:i/>
          <w:color w:val="78848F"/>
          <w:sz w:val="19"/>
        </w:rPr>
        <w:t>P4</w:t>
      </w:r>
      <w:r>
        <w:rPr>
          <w:rFonts w:ascii="Calibri" w:hAnsi="Calibri"/>
          <w:b w:val="0"/>
          <w:i/>
          <w:color w:val="78848F"/>
          <w:sz w:val="19"/>
        </w:rPr>
        <w:t xml:space="preserve"> es un refinamiento: usa el sistema actual para los clientes de los que casi no se sabe nada —menos de cinco productos comprados— y el modelo entrenado para el resto. Aporta poco al promedio, pero </w:t>
      </w:r>
      <w:r>
        <w:rPr>
          <w:rFonts w:ascii="Calibri" w:hAnsi="Calibri"/>
          <w:b/>
          <w:i/>
          <w:color w:val="78848F"/>
          <w:sz w:val="19"/>
        </w:rPr>
        <w:t>garantiza que ningún cliente reciba algo peor de lo que ya recibe hoy</w:t>
      </w:r>
      <w:r>
        <w:rPr>
          <w:rFonts w:ascii="Calibri" w:hAnsi="Calibri"/>
          <w:b w:val="0"/>
          <w:i/>
          <w:color w:val="78848F"/>
          <w:sz w:val="19"/>
        </w:rPr>
        <w:t>.</w:t>
      </w:r>
    </w:p>
    <w:p>
      <w:pPr>
        <w:pStyle w:val="Heading2"/>
        <w:spacing w:before="340" w:after="100"/>
      </w:pPr>
      <w:r>
        <w:rPr>
          <w:rFonts w:ascii="Calibri" w:hAnsi="Calibri"/>
          <w:b/>
          <w:i w:val="0"/>
          <w:color w:val="10161D"/>
          <w:sz w:val="26"/>
        </w:rPr>
        <w:t>P4 — un modelo por segmento</w:t>
      </w:r>
    </w:p>
    <w:p>
      <w:pPr>
        <w:spacing w:before="0" w:after="200" w:line="293" w:lineRule="auto"/>
      </w:pPr>
      <w:r>
        <w:rPr>
          <w:rFonts w:ascii="Calibri" w:hAnsi="Calibri"/>
          <w:b w:val="0"/>
          <w:i w:val="0"/>
          <w:color w:val="4A5765"/>
          <w:sz w:val="21"/>
        </w:rPr>
        <w:t xml:space="preserve">El ranker necesita historia: sus dos variables principales se calculan sobre compras pasadas. Midiendo sobre mayo qué modelo gana en cada tramo, </w:t>
      </w:r>
      <w:r>
        <w:rPr>
          <w:rFonts w:ascii="Calibri" w:hAnsi="Calibri"/>
          <w:b/>
          <w:i w:val="0"/>
          <w:color w:val="4A5765"/>
          <w:sz w:val="21"/>
        </w:rPr>
        <w:t>P3 solo pierde con menos de 5 productos comprados</w:t>
      </w:r>
      <w:r>
        <w:rPr>
          <w:rFonts w:ascii="Calibri" w:hAnsi="Calibri"/>
          <w:b w:val="0"/>
          <w:i w:val="0"/>
          <w:color w:val="4A5765"/>
          <w:sz w:val="21"/>
        </w:rPr>
        <w:t xml:space="preserve"> — el 1,4 % de la base.</w:t>
      </w:r>
    </w:p>
    <w:tbl>
      <w:tblPr>
        <w:tblW w:type="pct" w:w="5000"/>
        <w:jc w:val="left"/>
        <w:tblBorders>
          <w:top w:val="single" w:sz="6" w:space="0" w:color="10161D"/>
          <w:left w:val="none" w:sz="0" w:space="0" w:color="auto"/>
          <w:bottom w:val="single" w:sz="6" w:space="0" w:color="10161D"/>
          <w:right w:val="none" w:sz="0" w:space="0" w:color="auto"/>
          <w:insideH w:val="single" w:sz="4" w:space="0" w:color="E7ECF1"/>
          <w:insideV w:val="none" w:sz="0" w:space="0" w:color="auto"/>
        </w:tblBorders>
        <w:tblCellMar>
          <w:top w:w="70" w:type="dxa"/>
          <w:left w:w="100" w:type="dxa"/>
          <w:bottom w:w="70" w:type="dxa"/>
          <w:right w:w="100" w:type="dxa"/>
        </w:tblCellMar>
        <w:tblLook w:firstColumn="1" w:firstRow="1" w:lastColumn="0" w:lastRow="0" w:noHBand="0" w:noVBand="1" w:val="04A0"/>
      </w:tblPr>
      <w:tblGrid>
        <w:gridCol w:w="1360"/>
        <w:gridCol w:w="1360"/>
        <w:gridCol w:w="1360"/>
        <w:gridCol w:w="1360"/>
        <w:gridCol w:w="1360"/>
        <w:gridCol w:w="1360"/>
        <w:gridCol w:w="1360"/>
      </w:tblGrid>
      <w:tr>
        <w:trPr>
          <w:cantSplit/>
        </w:trPr>
        <w:tc>
          <w:tcPr>
            <w:tcW w:type="dxa" w:w="1360"/>
            <w:shd w:val="clear" w:fill="EEF1F5"/>
          </w:tcPr>
          <w:p>
            <w:pPr>
              <w:spacing w:after="40"/>
            </w:pPr>
            <w:r>
              <w:rPr>
                <w:rFonts w:ascii="Calibri" w:hAnsi="Calibri"/>
                <w:b/>
                <w:i w:val="0"/>
                <w:color w:val="10161D"/>
                <w:sz w:val="18"/>
              </w:rPr>
              <w:t>Historia del cliente</w:t>
            </w:r>
          </w:p>
        </w:tc>
        <w:tc>
          <w:tcPr>
            <w:tcW w:type="dxa" w:w="1360"/>
            <w:shd w:val="clear" w:fill="EEF1F5"/>
          </w:tcPr>
          <w:p>
            <w:pPr>
              <w:spacing w:after="40"/>
              <w:jc w:val="right"/>
            </w:pPr>
            <w:r>
              <w:rPr>
                <w:rFonts w:ascii="Calibri" w:hAnsi="Calibri"/>
                <w:b/>
                <w:i w:val="0"/>
                <w:color w:val="10161D"/>
                <w:sz w:val="18"/>
              </w:rPr>
              <w:t>Clientes</w:t>
            </w:r>
          </w:p>
        </w:tc>
        <w:tc>
          <w:tcPr>
            <w:tcW w:type="dxa" w:w="1360"/>
            <w:shd w:val="clear" w:fill="EEF1F5"/>
          </w:tcPr>
          <w:p>
            <w:pPr>
              <w:spacing w:after="40"/>
              <w:jc w:val="right"/>
            </w:pPr>
            <w:r>
              <w:rPr>
                <w:rFonts w:ascii="Calibri" w:hAnsi="Calibri"/>
                <w:b/>
                <w:i w:val="0"/>
                <w:color w:val="10161D"/>
                <w:sz w:val="18"/>
              </w:rPr>
              <w:t>B1</w:t>
            </w:r>
          </w:p>
        </w:tc>
        <w:tc>
          <w:tcPr>
            <w:tcW w:type="dxa" w:w="1360"/>
            <w:shd w:val="clear" w:fill="EEF1F5"/>
          </w:tcPr>
          <w:p>
            <w:pPr>
              <w:spacing w:after="40"/>
              <w:jc w:val="right"/>
            </w:pPr>
            <w:r>
              <w:rPr>
                <w:rFonts w:ascii="Calibri" w:hAnsi="Calibri"/>
                <w:b/>
                <w:i w:val="0"/>
                <w:color w:val="10161D"/>
                <w:sz w:val="18"/>
              </w:rPr>
              <w:t>P1</w:t>
            </w:r>
          </w:p>
        </w:tc>
        <w:tc>
          <w:tcPr>
            <w:tcW w:type="dxa" w:w="1360"/>
            <w:shd w:val="clear" w:fill="EEF1F5"/>
          </w:tcPr>
          <w:p>
            <w:pPr>
              <w:spacing w:after="40"/>
              <w:jc w:val="right"/>
            </w:pPr>
            <w:r>
              <w:rPr>
                <w:rFonts w:ascii="Calibri" w:hAnsi="Calibri"/>
                <w:b/>
                <w:i w:val="0"/>
                <w:color w:val="10161D"/>
                <w:sz w:val="18"/>
              </w:rPr>
              <w:t>P2</w:t>
            </w:r>
          </w:p>
        </w:tc>
        <w:tc>
          <w:tcPr>
            <w:tcW w:type="dxa" w:w="1360"/>
            <w:shd w:val="clear" w:fill="EEF1F5"/>
          </w:tcPr>
          <w:p>
            <w:pPr>
              <w:spacing w:after="40"/>
              <w:jc w:val="right"/>
            </w:pPr>
            <w:r>
              <w:rPr>
                <w:rFonts w:ascii="Calibri" w:hAnsi="Calibri"/>
                <w:b/>
                <w:i w:val="0"/>
                <w:color w:val="10161D"/>
                <w:sz w:val="18"/>
              </w:rPr>
              <w:t>P3</w:t>
            </w:r>
          </w:p>
        </w:tc>
        <w:tc>
          <w:tcPr>
            <w:tcW w:type="dxa" w:w="1360"/>
            <w:shd w:val="clear" w:fill="EEF1F5"/>
          </w:tcPr>
          <w:p>
            <w:pPr>
              <w:spacing w:after="40"/>
              <w:jc w:val="right"/>
            </w:pPr>
            <w:r>
              <w:rPr>
                <w:rFonts w:ascii="Calibri" w:hAnsi="Calibri"/>
                <w:b/>
                <w:i w:val="0"/>
                <w:color w:val="10161D"/>
                <w:sz w:val="18"/>
              </w:rPr>
              <w:t>Mejor</w:t>
            </w:r>
          </w:p>
        </w:tc>
      </w:tr>
      <w:tr>
        <w:trPr>
          <w:cantSplit/>
        </w:trPr>
        <w:tc>
          <w:tcPr>
            <w:tcW w:type="dxa" w:w="1360"/>
          </w:tcPr>
          <w:p>
            <w:pPr>
              <w:spacing w:after="40"/>
            </w:pPr>
            <w:r>
              <w:rPr>
                <w:rFonts w:ascii="Calibri" w:hAnsi="Calibri"/>
                <w:b w:val="0"/>
                <w:i w:val="0"/>
                <w:color w:val="4A5765"/>
                <w:sz w:val="19"/>
              </w:rPr>
              <w:t>0-4 SKU</w:t>
            </w:r>
          </w:p>
        </w:tc>
        <w:tc>
          <w:tcPr>
            <w:tcW w:type="dxa" w:w="1360"/>
          </w:tcPr>
          <w:p>
            <w:pPr>
              <w:spacing w:after="40"/>
              <w:jc w:val="right"/>
            </w:pPr>
            <w:r>
              <w:rPr>
                <w:rFonts w:ascii="Consolas" w:hAnsi="Consolas"/>
                <w:b w:val="0"/>
                <w:i w:val="0"/>
                <w:color w:val="4A5765"/>
                <w:sz w:val="19"/>
              </w:rPr>
              <w:t>325</w:t>
            </w:r>
          </w:p>
        </w:tc>
        <w:tc>
          <w:tcPr>
            <w:tcW w:type="dxa" w:w="1360"/>
          </w:tcPr>
          <w:p>
            <w:pPr>
              <w:spacing w:after="40"/>
              <w:jc w:val="right"/>
            </w:pPr>
            <w:r>
              <w:rPr>
                <w:rFonts w:ascii="Consolas" w:hAnsi="Consolas"/>
                <w:b w:val="0"/>
                <w:i w:val="0"/>
                <w:color w:val="4A5765"/>
                <w:sz w:val="19"/>
              </w:rPr>
              <w:t>48,9 %</w:t>
            </w:r>
          </w:p>
        </w:tc>
        <w:tc>
          <w:tcPr>
            <w:tcW w:type="dxa" w:w="1360"/>
          </w:tcPr>
          <w:p>
            <w:pPr>
              <w:spacing w:after="40"/>
              <w:jc w:val="right"/>
            </w:pPr>
            <w:r>
              <w:rPr>
                <w:rFonts w:ascii="Consolas" w:hAnsi="Consolas"/>
                <w:b w:val="0"/>
                <w:i w:val="0"/>
                <w:color w:val="4A5765"/>
                <w:sz w:val="19"/>
              </w:rPr>
              <w:t>46,1 %</w:t>
            </w:r>
          </w:p>
        </w:tc>
        <w:tc>
          <w:tcPr>
            <w:tcW w:type="dxa" w:w="1360"/>
          </w:tcPr>
          <w:p>
            <w:pPr>
              <w:spacing w:after="40"/>
              <w:jc w:val="right"/>
            </w:pPr>
            <w:r>
              <w:rPr>
                <w:rFonts w:ascii="Consolas" w:hAnsi="Consolas"/>
                <w:b w:val="0"/>
                <w:i w:val="0"/>
                <w:color w:val="4A5765"/>
                <w:sz w:val="19"/>
              </w:rPr>
              <w:t>44,9 %</w:t>
            </w:r>
          </w:p>
        </w:tc>
        <w:tc>
          <w:tcPr>
            <w:tcW w:type="dxa" w:w="1360"/>
          </w:tcPr>
          <w:p>
            <w:pPr>
              <w:spacing w:after="40"/>
              <w:jc w:val="right"/>
            </w:pPr>
            <w:r>
              <w:rPr>
                <w:rFonts w:ascii="Consolas" w:hAnsi="Consolas"/>
                <w:b w:val="0"/>
                <w:i w:val="0"/>
                <w:color w:val="4A5765"/>
                <w:sz w:val="19"/>
              </w:rPr>
              <w:t>42,1 %</w:t>
            </w:r>
          </w:p>
        </w:tc>
        <w:tc>
          <w:tcPr>
            <w:tcW w:type="dxa" w:w="1360"/>
          </w:tcPr>
          <w:p>
            <w:pPr>
              <w:spacing w:after="40"/>
            </w:pPr>
            <w:r>
              <w:rPr>
                <w:rFonts w:ascii="Calibri" w:hAnsi="Calibri"/>
                <w:b w:val="0"/>
                <w:i w:val="0"/>
                <w:color w:val="4A5765"/>
                <w:sz w:val="19"/>
              </w:rPr>
              <w:t>B1</w:t>
            </w:r>
          </w:p>
        </w:tc>
      </w:tr>
      <w:tr>
        <w:trPr>
          <w:cantSplit/>
        </w:trPr>
        <w:tc>
          <w:tcPr>
            <w:tcW w:type="dxa" w:w="1360"/>
          </w:tcPr>
          <w:p>
            <w:pPr>
              <w:spacing w:after="40"/>
            </w:pPr>
            <w:r>
              <w:rPr>
                <w:rFonts w:ascii="Calibri" w:hAnsi="Calibri"/>
                <w:b w:val="0"/>
                <w:i w:val="0"/>
                <w:color w:val="4A5765"/>
                <w:sz w:val="19"/>
              </w:rPr>
              <w:t>5-9 SKU</w:t>
            </w:r>
          </w:p>
        </w:tc>
        <w:tc>
          <w:tcPr>
            <w:tcW w:type="dxa" w:w="1360"/>
          </w:tcPr>
          <w:p>
            <w:pPr>
              <w:spacing w:after="40"/>
              <w:jc w:val="right"/>
            </w:pPr>
            <w:r>
              <w:rPr>
                <w:rFonts w:ascii="Consolas" w:hAnsi="Consolas"/>
                <w:b w:val="0"/>
                <w:i w:val="0"/>
                <w:color w:val="4A5765"/>
                <w:sz w:val="19"/>
              </w:rPr>
              <w:t>805</w:t>
            </w:r>
          </w:p>
        </w:tc>
        <w:tc>
          <w:tcPr>
            <w:tcW w:type="dxa" w:w="1360"/>
          </w:tcPr>
          <w:p>
            <w:pPr>
              <w:spacing w:after="40"/>
              <w:jc w:val="right"/>
            </w:pPr>
            <w:r>
              <w:rPr>
                <w:rFonts w:ascii="Consolas" w:hAnsi="Consolas"/>
                <w:b w:val="0"/>
                <w:i w:val="0"/>
                <w:color w:val="4A5765"/>
                <w:sz w:val="19"/>
              </w:rPr>
              <w:t>41,0 %</w:t>
            </w:r>
          </w:p>
        </w:tc>
        <w:tc>
          <w:tcPr>
            <w:tcW w:type="dxa" w:w="1360"/>
          </w:tcPr>
          <w:p>
            <w:pPr>
              <w:spacing w:after="40"/>
              <w:jc w:val="right"/>
            </w:pPr>
            <w:r>
              <w:rPr>
                <w:rFonts w:ascii="Consolas" w:hAnsi="Consolas"/>
                <w:b w:val="0"/>
                <w:i w:val="0"/>
                <w:color w:val="4A5765"/>
                <w:sz w:val="19"/>
              </w:rPr>
              <w:t>43,2 %</w:t>
            </w:r>
          </w:p>
        </w:tc>
        <w:tc>
          <w:tcPr>
            <w:tcW w:type="dxa" w:w="1360"/>
          </w:tcPr>
          <w:p>
            <w:pPr>
              <w:spacing w:after="40"/>
              <w:jc w:val="right"/>
            </w:pPr>
            <w:r>
              <w:rPr>
                <w:rFonts w:ascii="Consolas" w:hAnsi="Consolas"/>
                <w:b w:val="0"/>
                <w:i w:val="0"/>
                <w:color w:val="4A5765"/>
                <w:sz w:val="19"/>
              </w:rPr>
              <w:t>42,5 %</w:t>
            </w:r>
          </w:p>
        </w:tc>
        <w:tc>
          <w:tcPr>
            <w:tcW w:type="dxa" w:w="1360"/>
          </w:tcPr>
          <w:p>
            <w:pPr>
              <w:spacing w:after="40"/>
              <w:jc w:val="right"/>
            </w:pPr>
            <w:r>
              <w:rPr>
                <w:rFonts w:ascii="Consolas" w:hAnsi="Consolas"/>
                <w:b w:val="0"/>
                <w:i w:val="0"/>
                <w:color w:val="4A5765"/>
                <w:sz w:val="19"/>
              </w:rPr>
              <w:t>47,3 %</w:t>
            </w:r>
          </w:p>
        </w:tc>
        <w:tc>
          <w:tcPr>
            <w:tcW w:type="dxa" w:w="1360"/>
          </w:tcPr>
          <w:p>
            <w:pPr>
              <w:spacing w:after="40"/>
            </w:pPr>
            <w:r>
              <w:rPr>
                <w:rFonts w:ascii="Calibri" w:hAnsi="Calibri"/>
                <w:b w:val="0"/>
                <w:i w:val="0"/>
                <w:color w:val="4A5765"/>
                <w:sz w:val="19"/>
              </w:rPr>
              <w:t>P3</w:t>
            </w:r>
          </w:p>
        </w:tc>
      </w:tr>
      <w:tr>
        <w:trPr>
          <w:cantSplit/>
        </w:trPr>
        <w:tc>
          <w:tcPr>
            <w:tcW w:type="dxa" w:w="1360"/>
          </w:tcPr>
          <w:p>
            <w:pPr>
              <w:spacing w:after="40"/>
            </w:pPr>
            <w:r>
              <w:rPr>
                <w:rFonts w:ascii="Calibri" w:hAnsi="Calibri"/>
                <w:b w:val="0"/>
                <w:i w:val="0"/>
                <w:color w:val="4A5765"/>
                <w:sz w:val="19"/>
              </w:rPr>
              <w:t>10-14 SKU</w:t>
            </w:r>
          </w:p>
        </w:tc>
        <w:tc>
          <w:tcPr>
            <w:tcW w:type="dxa" w:w="1360"/>
          </w:tcPr>
          <w:p>
            <w:pPr>
              <w:spacing w:after="40"/>
              <w:jc w:val="right"/>
            </w:pPr>
            <w:r>
              <w:rPr>
                <w:rFonts w:ascii="Consolas" w:hAnsi="Consolas"/>
                <w:b w:val="0"/>
                <w:i w:val="0"/>
                <w:color w:val="4A5765"/>
                <w:sz w:val="19"/>
              </w:rPr>
              <w:t>1.563</w:t>
            </w:r>
          </w:p>
        </w:tc>
        <w:tc>
          <w:tcPr>
            <w:tcW w:type="dxa" w:w="1360"/>
          </w:tcPr>
          <w:p>
            <w:pPr>
              <w:spacing w:after="40"/>
              <w:jc w:val="right"/>
            </w:pPr>
            <w:r>
              <w:rPr>
                <w:rFonts w:ascii="Consolas" w:hAnsi="Consolas"/>
                <w:b w:val="0"/>
                <w:i w:val="0"/>
                <w:color w:val="4A5765"/>
                <w:sz w:val="19"/>
              </w:rPr>
              <w:t>42,7 %</w:t>
            </w:r>
          </w:p>
        </w:tc>
        <w:tc>
          <w:tcPr>
            <w:tcW w:type="dxa" w:w="1360"/>
          </w:tcPr>
          <w:p>
            <w:pPr>
              <w:spacing w:after="40"/>
              <w:jc w:val="right"/>
            </w:pPr>
            <w:r>
              <w:rPr>
                <w:rFonts w:ascii="Consolas" w:hAnsi="Consolas"/>
                <w:b w:val="0"/>
                <w:i w:val="0"/>
                <w:color w:val="4A5765"/>
                <w:sz w:val="19"/>
              </w:rPr>
              <w:t>45,0 %</w:t>
            </w:r>
          </w:p>
        </w:tc>
        <w:tc>
          <w:tcPr>
            <w:tcW w:type="dxa" w:w="1360"/>
          </w:tcPr>
          <w:p>
            <w:pPr>
              <w:spacing w:after="40"/>
              <w:jc w:val="right"/>
            </w:pPr>
            <w:r>
              <w:rPr>
                <w:rFonts w:ascii="Consolas" w:hAnsi="Consolas"/>
                <w:b w:val="0"/>
                <w:i w:val="0"/>
                <w:color w:val="4A5765"/>
                <w:sz w:val="19"/>
              </w:rPr>
              <w:t>43,1 %</w:t>
            </w:r>
          </w:p>
        </w:tc>
        <w:tc>
          <w:tcPr>
            <w:tcW w:type="dxa" w:w="1360"/>
          </w:tcPr>
          <w:p>
            <w:pPr>
              <w:spacing w:after="40"/>
              <w:jc w:val="right"/>
            </w:pPr>
            <w:r>
              <w:rPr>
                <w:rFonts w:ascii="Consolas" w:hAnsi="Consolas"/>
                <w:b w:val="0"/>
                <w:i w:val="0"/>
                <w:color w:val="4A5765"/>
                <w:sz w:val="19"/>
              </w:rPr>
              <w:t>48,0 %</w:t>
            </w:r>
          </w:p>
        </w:tc>
        <w:tc>
          <w:tcPr>
            <w:tcW w:type="dxa" w:w="1360"/>
          </w:tcPr>
          <w:p>
            <w:pPr>
              <w:spacing w:after="40"/>
            </w:pPr>
            <w:r>
              <w:rPr>
                <w:rFonts w:ascii="Calibri" w:hAnsi="Calibri"/>
                <w:b w:val="0"/>
                <w:i w:val="0"/>
                <w:color w:val="4A5765"/>
                <w:sz w:val="19"/>
              </w:rPr>
              <w:t>P3</w:t>
            </w:r>
          </w:p>
        </w:tc>
      </w:tr>
      <w:tr>
        <w:trPr>
          <w:cantSplit/>
        </w:trPr>
        <w:tc>
          <w:tcPr>
            <w:tcW w:type="dxa" w:w="1360"/>
          </w:tcPr>
          <w:p>
            <w:pPr>
              <w:spacing w:after="40"/>
            </w:pPr>
            <w:r>
              <w:rPr>
                <w:rFonts w:ascii="Calibri" w:hAnsi="Calibri"/>
                <w:b w:val="0"/>
                <w:i w:val="0"/>
                <w:color w:val="4A5765"/>
                <w:sz w:val="19"/>
              </w:rPr>
              <w:t>15-19 SKU</w:t>
            </w:r>
          </w:p>
        </w:tc>
        <w:tc>
          <w:tcPr>
            <w:tcW w:type="dxa" w:w="1360"/>
          </w:tcPr>
          <w:p>
            <w:pPr>
              <w:spacing w:after="40"/>
              <w:jc w:val="right"/>
            </w:pPr>
            <w:r>
              <w:rPr>
                <w:rFonts w:ascii="Consolas" w:hAnsi="Consolas"/>
                <w:b w:val="0"/>
                <w:i w:val="0"/>
                <w:color w:val="4A5765"/>
                <w:sz w:val="19"/>
              </w:rPr>
              <w:t>2.406</w:t>
            </w:r>
          </w:p>
        </w:tc>
        <w:tc>
          <w:tcPr>
            <w:tcW w:type="dxa" w:w="1360"/>
          </w:tcPr>
          <w:p>
            <w:pPr>
              <w:spacing w:after="40"/>
              <w:jc w:val="right"/>
            </w:pPr>
            <w:r>
              <w:rPr>
                <w:rFonts w:ascii="Consolas" w:hAnsi="Consolas"/>
                <w:b w:val="0"/>
                <w:i w:val="0"/>
                <w:color w:val="4A5765"/>
                <w:sz w:val="19"/>
              </w:rPr>
              <w:t>42,5 %</w:t>
            </w:r>
          </w:p>
        </w:tc>
        <w:tc>
          <w:tcPr>
            <w:tcW w:type="dxa" w:w="1360"/>
          </w:tcPr>
          <w:p>
            <w:pPr>
              <w:spacing w:after="40"/>
              <w:jc w:val="right"/>
            </w:pPr>
            <w:r>
              <w:rPr>
                <w:rFonts w:ascii="Consolas" w:hAnsi="Consolas"/>
                <w:b w:val="0"/>
                <w:i w:val="0"/>
                <w:color w:val="4A5765"/>
                <w:sz w:val="19"/>
              </w:rPr>
              <w:t>47,8 %</w:t>
            </w:r>
          </w:p>
        </w:tc>
        <w:tc>
          <w:tcPr>
            <w:tcW w:type="dxa" w:w="1360"/>
          </w:tcPr>
          <w:p>
            <w:pPr>
              <w:spacing w:after="40"/>
              <w:jc w:val="right"/>
            </w:pPr>
            <w:r>
              <w:rPr>
                <w:rFonts w:ascii="Consolas" w:hAnsi="Consolas"/>
                <w:b w:val="0"/>
                <w:i w:val="0"/>
                <w:color w:val="4A5765"/>
                <w:sz w:val="19"/>
              </w:rPr>
              <w:t>44,3 %</w:t>
            </w:r>
          </w:p>
        </w:tc>
        <w:tc>
          <w:tcPr>
            <w:tcW w:type="dxa" w:w="1360"/>
          </w:tcPr>
          <w:p>
            <w:pPr>
              <w:spacing w:after="40"/>
              <w:jc w:val="right"/>
            </w:pPr>
            <w:r>
              <w:rPr>
                <w:rFonts w:ascii="Consolas" w:hAnsi="Consolas"/>
                <w:b w:val="0"/>
                <w:i w:val="0"/>
                <w:color w:val="4A5765"/>
                <w:sz w:val="19"/>
              </w:rPr>
              <w:t>54,2 %</w:t>
            </w:r>
          </w:p>
        </w:tc>
        <w:tc>
          <w:tcPr>
            <w:tcW w:type="dxa" w:w="1360"/>
          </w:tcPr>
          <w:p>
            <w:pPr>
              <w:spacing w:after="40"/>
            </w:pPr>
            <w:r>
              <w:rPr>
                <w:rFonts w:ascii="Calibri" w:hAnsi="Calibri"/>
                <w:b w:val="0"/>
                <w:i w:val="0"/>
                <w:color w:val="4A5765"/>
                <w:sz w:val="19"/>
              </w:rPr>
              <w:t>P3</w:t>
            </w:r>
          </w:p>
        </w:tc>
      </w:tr>
      <w:tr>
        <w:trPr>
          <w:cantSplit/>
        </w:trPr>
        <w:tc>
          <w:tcPr>
            <w:tcW w:type="dxa" w:w="1360"/>
          </w:tcPr>
          <w:p>
            <w:pPr>
              <w:spacing w:after="40"/>
            </w:pPr>
            <w:r>
              <w:rPr>
                <w:rFonts w:ascii="Calibri" w:hAnsi="Calibri"/>
                <w:b w:val="0"/>
                <w:i w:val="0"/>
                <w:color w:val="4A5765"/>
                <w:sz w:val="19"/>
              </w:rPr>
              <w:t>20-29 SKU</w:t>
            </w:r>
          </w:p>
        </w:tc>
        <w:tc>
          <w:tcPr>
            <w:tcW w:type="dxa" w:w="1360"/>
          </w:tcPr>
          <w:p>
            <w:pPr>
              <w:spacing w:after="40"/>
              <w:jc w:val="right"/>
            </w:pPr>
            <w:r>
              <w:rPr>
                <w:rFonts w:ascii="Consolas" w:hAnsi="Consolas"/>
                <w:b w:val="0"/>
                <w:i w:val="0"/>
                <w:color w:val="4A5765"/>
                <w:sz w:val="19"/>
              </w:rPr>
              <w:t>4.782</w:t>
            </w:r>
          </w:p>
        </w:tc>
        <w:tc>
          <w:tcPr>
            <w:tcW w:type="dxa" w:w="1360"/>
          </w:tcPr>
          <w:p>
            <w:pPr>
              <w:spacing w:after="40"/>
              <w:jc w:val="right"/>
            </w:pPr>
            <w:r>
              <w:rPr>
                <w:rFonts w:ascii="Consolas" w:hAnsi="Consolas"/>
                <w:b w:val="0"/>
                <w:i w:val="0"/>
                <w:color w:val="4A5765"/>
                <w:sz w:val="19"/>
              </w:rPr>
              <w:t>43,6 %</w:t>
            </w:r>
          </w:p>
        </w:tc>
        <w:tc>
          <w:tcPr>
            <w:tcW w:type="dxa" w:w="1360"/>
          </w:tcPr>
          <w:p>
            <w:pPr>
              <w:spacing w:after="40"/>
              <w:jc w:val="right"/>
            </w:pPr>
            <w:r>
              <w:rPr>
                <w:rFonts w:ascii="Consolas" w:hAnsi="Consolas"/>
                <w:b w:val="0"/>
                <w:i w:val="0"/>
                <w:color w:val="4A5765"/>
                <w:sz w:val="19"/>
              </w:rPr>
              <w:t>49,5 %</w:t>
            </w:r>
          </w:p>
        </w:tc>
        <w:tc>
          <w:tcPr>
            <w:tcW w:type="dxa" w:w="1360"/>
          </w:tcPr>
          <w:p>
            <w:pPr>
              <w:spacing w:after="40"/>
              <w:jc w:val="right"/>
            </w:pPr>
            <w:r>
              <w:rPr>
                <w:rFonts w:ascii="Consolas" w:hAnsi="Consolas"/>
                <w:b w:val="0"/>
                <w:i w:val="0"/>
                <w:color w:val="4A5765"/>
                <w:sz w:val="19"/>
              </w:rPr>
              <w:t>46,8 %</w:t>
            </w:r>
          </w:p>
        </w:tc>
        <w:tc>
          <w:tcPr>
            <w:tcW w:type="dxa" w:w="1360"/>
          </w:tcPr>
          <w:p>
            <w:pPr>
              <w:spacing w:after="40"/>
              <w:jc w:val="right"/>
            </w:pPr>
            <w:r>
              <w:rPr>
                <w:rFonts w:ascii="Consolas" w:hAnsi="Consolas"/>
                <w:b w:val="0"/>
                <w:i w:val="0"/>
                <w:color w:val="4A5765"/>
                <w:sz w:val="19"/>
              </w:rPr>
              <w:t>56,3 %</w:t>
            </w:r>
          </w:p>
        </w:tc>
        <w:tc>
          <w:tcPr>
            <w:tcW w:type="dxa" w:w="1360"/>
          </w:tcPr>
          <w:p>
            <w:pPr>
              <w:spacing w:after="40"/>
            </w:pPr>
            <w:r>
              <w:rPr>
                <w:rFonts w:ascii="Calibri" w:hAnsi="Calibri"/>
                <w:b w:val="0"/>
                <w:i w:val="0"/>
                <w:color w:val="4A5765"/>
                <w:sz w:val="19"/>
              </w:rPr>
              <w:t>P3</w:t>
            </w:r>
          </w:p>
        </w:tc>
      </w:tr>
      <w:tr>
        <w:trPr>
          <w:cantSplit/>
        </w:trPr>
        <w:tc>
          <w:tcPr>
            <w:tcW w:type="dxa" w:w="1360"/>
          </w:tcPr>
          <w:p>
            <w:pPr>
              <w:spacing w:after="40"/>
            </w:pPr>
            <w:r>
              <w:rPr>
                <w:rFonts w:ascii="Calibri" w:hAnsi="Calibri"/>
                <w:b w:val="0"/>
                <w:i w:val="0"/>
                <w:color w:val="4A5765"/>
                <w:sz w:val="19"/>
              </w:rPr>
              <w:t>30-44 SKU</w:t>
            </w:r>
          </w:p>
        </w:tc>
        <w:tc>
          <w:tcPr>
            <w:tcW w:type="dxa" w:w="1360"/>
          </w:tcPr>
          <w:p>
            <w:pPr>
              <w:spacing w:after="40"/>
              <w:jc w:val="right"/>
            </w:pPr>
            <w:r>
              <w:rPr>
                <w:rFonts w:ascii="Consolas" w:hAnsi="Consolas"/>
                <w:b w:val="0"/>
                <w:i w:val="0"/>
                <w:color w:val="4A5765"/>
                <w:sz w:val="19"/>
              </w:rPr>
              <w:t>5.555</w:t>
            </w:r>
          </w:p>
        </w:tc>
        <w:tc>
          <w:tcPr>
            <w:tcW w:type="dxa" w:w="1360"/>
          </w:tcPr>
          <w:p>
            <w:pPr>
              <w:spacing w:after="40"/>
              <w:jc w:val="right"/>
            </w:pPr>
            <w:r>
              <w:rPr>
                <w:rFonts w:ascii="Consolas" w:hAnsi="Consolas"/>
                <w:b w:val="0"/>
                <w:i w:val="0"/>
                <w:color w:val="4A5765"/>
                <w:sz w:val="19"/>
              </w:rPr>
              <w:t>47,1 %</w:t>
            </w:r>
          </w:p>
        </w:tc>
        <w:tc>
          <w:tcPr>
            <w:tcW w:type="dxa" w:w="1360"/>
          </w:tcPr>
          <w:p>
            <w:pPr>
              <w:spacing w:after="40"/>
              <w:jc w:val="right"/>
            </w:pPr>
            <w:r>
              <w:rPr>
                <w:rFonts w:ascii="Consolas" w:hAnsi="Consolas"/>
                <w:b w:val="0"/>
                <w:i w:val="0"/>
                <w:color w:val="4A5765"/>
                <w:sz w:val="19"/>
              </w:rPr>
              <w:t>52,8 %</w:t>
            </w:r>
          </w:p>
        </w:tc>
        <w:tc>
          <w:tcPr>
            <w:tcW w:type="dxa" w:w="1360"/>
          </w:tcPr>
          <w:p>
            <w:pPr>
              <w:spacing w:after="40"/>
              <w:jc w:val="right"/>
            </w:pPr>
            <w:r>
              <w:rPr>
                <w:rFonts w:ascii="Consolas" w:hAnsi="Consolas"/>
                <w:b w:val="0"/>
                <w:i w:val="0"/>
                <w:color w:val="4A5765"/>
                <w:sz w:val="19"/>
              </w:rPr>
              <w:t>49,5 %</w:t>
            </w:r>
          </w:p>
        </w:tc>
        <w:tc>
          <w:tcPr>
            <w:tcW w:type="dxa" w:w="1360"/>
          </w:tcPr>
          <w:p>
            <w:pPr>
              <w:spacing w:after="40"/>
              <w:jc w:val="right"/>
            </w:pPr>
            <w:r>
              <w:rPr>
                <w:rFonts w:ascii="Consolas" w:hAnsi="Consolas"/>
                <w:b w:val="0"/>
                <w:i w:val="0"/>
                <w:color w:val="4A5765"/>
                <w:sz w:val="19"/>
              </w:rPr>
              <w:t>61,7 %</w:t>
            </w:r>
          </w:p>
        </w:tc>
        <w:tc>
          <w:tcPr>
            <w:tcW w:type="dxa" w:w="1360"/>
          </w:tcPr>
          <w:p>
            <w:pPr>
              <w:spacing w:after="40"/>
            </w:pPr>
            <w:r>
              <w:rPr>
                <w:rFonts w:ascii="Calibri" w:hAnsi="Calibri"/>
                <w:b w:val="0"/>
                <w:i w:val="0"/>
                <w:color w:val="4A5765"/>
                <w:sz w:val="19"/>
              </w:rPr>
              <w:t>P3</w:t>
            </w:r>
          </w:p>
        </w:tc>
      </w:tr>
      <w:tr>
        <w:trPr>
          <w:cantSplit/>
        </w:trPr>
        <w:tc>
          <w:tcPr>
            <w:tcW w:type="dxa" w:w="1360"/>
          </w:tcPr>
          <w:p>
            <w:pPr>
              <w:spacing w:after="40"/>
            </w:pPr>
            <w:r>
              <w:rPr>
                <w:rFonts w:ascii="Calibri" w:hAnsi="Calibri"/>
                <w:b w:val="0"/>
                <w:i w:val="0"/>
                <w:color w:val="4A5765"/>
                <w:sz w:val="19"/>
              </w:rPr>
              <w:t>45+ SKU</w:t>
            </w:r>
          </w:p>
        </w:tc>
        <w:tc>
          <w:tcPr>
            <w:tcW w:type="dxa" w:w="1360"/>
          </w:tcPr>
          <w:p>
            <w:pPr>
              <w:spacing w:after="40"/>
              <w:jc w:val="right"/>
            </w:pPr>
            <w:r>
              <w:rPr>
                <w:rFonts w:ascii="Consolas" w:hAnsi="Consolas"/>
                <w:b w:val="0"/>
                <w:i w:val="0"/>
                <w:color w:val="4A5765"/>
                <w:sz w:val="19"/>
              </w:rPr>
              <w:t>7.502</w:t>
            </w:r>
          </w:p>
        </w:tc>
        <w:tc>
          <w:tcPr>
            <w:tcW w:type="dxa" w:w="1360"/>
          </w:tcPr>
          <w:p>
            <w:pPr>
              <w:spacing w:after="40"/>
              <w:jc w:val="right"/>
            </w:pPr>
            <w:r>
              <w:rPr>
                <w:rFonts w:ascii="Consolas" w:hAnsi="Consolas"/>
                <w:b w:val="0"/>
                <w:i w:val="0"/>
                <w:color w:val="4A5765"/>
                <w:sz w:val="19"/>
              </w:rPr>
              <w:t>53,3 %</w:t>
            </w:r>
          </w:p>
        </w:tc>
        <w:tc>
          <w:tcPr>
            <w:tcW w:type="dxa" w:w="1360"/>
          </w:tcPr>
          <w:p>
            <w:pPr>
              <w:spacing w:after="40"/>
              <w:jc w:val="right"/>
            </w:pPr>
            <w:r>
              <w:rPr>
                <w:rFonts w:ascii="Consolas" w:hAnsi="Consolas"/>
                <w:b w:val="0"/>
                <w:i w:val="0"/>
                <w:color w:val="4A5765"/>
                <w:sz w:val="19"/>
              </w:rPr>
              <w:t>58,5 %</w:t>
            </w:r>
          </w:p>
        </w:tc>
        <w:tc>
          <w:tcPr>
            <w:tcW w:type="dxa" w:w="1360"/>
          </w:tcPr>
          <w:p>
            <w:pPr>
              <w:spacing w:after="40"/>
              <w:jc w:val="right"/>
            </w:pPr>
            <w:r>
              <w:rPr>
                <w:rFonts w:ascii="Consolas" w:hAnsi="Consolas"/>
                <w:b w:val="0"/>
                <w:i w:val="0"/>
                <w:color w:val="4A5765"/>
                <w:sz w:val="19"/>
              </w:rPr>
              <w:t>56,0 %</w:t>
            </w:r>
          </w:p>
        </w:tc>
        <w:tc>
          <w:tcPr>
            <w:tcW w:type="dxa" w:w="1360"/>
          </w:tcPr>
          <w:p>
            <w:pPr>
              <w:spacing w:after="40"/>
              <w:jc w:val="right"/>
            </w:pPr>
            <w:r>
              <w:rPr>
                <w:rFonts w:ascii="Consolas" w:hAnsi="Consolas"/>
                <w:b w:val="0"/>
                <w:i w:val="0"/>
                <w:color w:val="4A5765"/>
                <w:sz w:val="19"/>
              </w:rPr>
              <w:t>72,0 %</w:t>
            </w:r>
          </w:p>
        </w:tc>
        <w:tc>
          <w:tcPr>
            <w:tcW w:type="dxa" w:w="1360"/>
          </w:tcPr>
          <w:p>
            <w:pPr>
              <w:spacing w:after="40"/>
            </w:pPr>
            <w:r>
              <w:rPr>
                <w:rFonts w:ascii="Calibri" w:hAnsi="Calibri"/>
                <w:b w:val="0"/>
                <w:i w:val="0"/>
                <w:color w:val="4A5765"/>
                <w:sz w:val="19"/>
              </w:rPr>
              <w:t>P3</w:t>
            </w:r>
          </w:p>
        </w:tc>
      </w:tr>
    </w:tbl>
    <w:p>
      <w:pPr>
        <w:spacing w:before="0" w:after="80" w:line="293" w:lineRule="auto"/>
      </w:pPr>
    </w:p>
    <w:p>
      <w:pPr>
        <w:spacing w:before="0" w:after="200" w:line="293" w:lineRule="auto"/>
      </w:pPr>
      <w:r>
        <w:rPr>
          <w:rFonts w:ascii="Calibri" w:hAnsi="Calibri"/>
          <w:b w:val="0"/>
          <w:i/>
          <w:color w:val="78848F"/>
          <w:sz w:val="19"/>
        </w:rPr>
        <w:t xml:space="preserve">El umbral se eligió </w:t>
      </w:r>
      <w:r>
        <w:rPr>
          <w:rFonts w:ascii="Calibri" w:hAnsi="Calibri"/>
          <w:b/>
          <w:i/>
          <w:color w:val="78848F"/>
          <w:sz w:val="19"/>
        </w:rPr>
        <w:t>sobre mayo</w:t>
      </w:r>
      <w:r>
        <w:rPr>
          <w:rFonts w:ascii="Calibri" w:hAnsi="Calibri"/>
          <w:b w:val="0"/>
          <w:i/>
          <w:color w:val="78848F"/>
          <w:sz w:val="19"/>
        </w:rPr>
        <w:t xml:space="preserve"> y se aplicó a ciegas sobre julio: buscarlo sobre el mes de prueba habría sido ajustar contra la respuesta. Resultado: </w:t>
      </w:r>
      <w:r>
        <w:rPr>
          <w:rFonts w:ascii="Calibri" w:hAnsi="Calibri"/>
          <w:b/>
          <w:i/>
          <w:color w:val="78848F"/>
          <w:sz w:val="19"/>
        </w:rPr>
        <w:t>P4 alcanza 58,95 %</w:t>
      </w:r>
      <w:r>
        <w:rPr>
          <w:rFonts w:ascii="Calibri" w:hAnsi="Calibri"/>
          <w:b w:val="0"/>
          <w:i/>
          <w:color w:val="78848F"/>
          <w:sz w:val="19"/>
        </w:rPr>
        <w:t xml:space="preserve"> contra 58,64 % de P3 — apenas +0,31 puntos, porque el tramo donde P3 falla es pequeño. </w:t>
      </w:r>
      <w:r>
        <w:rPr>
          <w:rFonts w:ascii="Calibri" w:hAnsi="Calibri"/>
          <w:b/>
          <w:i/>
          <w:color w:val="78848F"/>
          <w:sz w:val="19"/>
        </w:rPr>
        <w:t>Su valor no es la métrica sino la garantía de que ningún cliente recibe algo peor que el sistema actual.</w:t>
      </w:r>
    </w:p>
    <w:p>
      <w:pPr>
        <w:pStyle w:val="Heading2"/>
        <w:spacing w:before="340" w:after="100"/>
      </w:pPr>
      <w:r>
        <w:rPr>
          <w:rFonts w:ascii="Calibri" w:hAnsi="Calibri"/>
          <w:b/>
          <w:i w:val="0"/>
          <w:color w:val="10161D"/>
          <w:sz w:val="26"/>
        </w:rPr>
        <w:t>Traducción a pesos</w:t>
      </w:r>
    </w:p>
    <w:p>
      <w:pPr>
        <w:spacing w:before="0" w:after="200" w:line="293" w:lineRule="auto"/>
      </w:pPr>
      <w:r>
        <w:rPr>
          <w:rFonts w:ascii="Calibri" w:hAnsi="Calibri"/>
          <w:b w:val="0"/>
          <w:i w:val="0"/>
          <w:color w:val="4A5765"/>
          <w:sz w:val="21"/>
        </w:rPr>
        <w:t xml:space="preserve">Con 8 sugerencias por cliente al mes, el modelo acierta </w:t>
      </w:r>
      <w:r>
        <w:rPr>
          <w:rFonts w:ascii="Calibri" w:hAnsi="Calibri"/>
          <w:b/>
          <w:i w:val="0"/>
          <w:color w:val="4A5765"/>
          <w:sz w:val="21"/>
        </w:rPr>
        <w:t>1,24 productos por cliente</w:t>
      </w:r>
      <w:r>
        <w:rPr>
          <w:rFonts w:ascii="Calibri" w:hAnsi="Calibri"/>
          <w:b w:val="0"/>
          <w:i w:val="0"/>
          <w:color w:val="4A5765"/>
          <w:sz w:val="21"/>
        </w:rPr>
        <w:t xml:space="preserve">, equivalentes a </w:t>
      </w:r>
      <w:r>
        <w:rPr>
          <w:rFonts w:ascii="Calibri" w:hAnsi="Calibri"/>
          <w:b/>
          <w:i w:val="0"/>
          <w:color w:val="4A5765"/>
          <w:sz w:val="21"/>
        </w:rPr>
        <w:t>0,36 SKU adicionales en cada visita</w:t>
      </w:r>
      <w:r>
        <w:rPr>
          <w:rFonts w:ascii="Calibri" w:hAnsi="Calibri"/>
          <w:b w:val="0"/>
          <w:i w:val="0"/>
          <w:color w:val="4A5765"/>
          <w:sz w:val="21"/>
        </w:rPr>
        <w:t xml:space="preserve"> y 57 pesos por cliente al mes. Esa última cifra hay que leerla con cuidado: son </w:t>
      </w:r>
      <w:r>
        <w:rPr>
          <w:rFonts w:ascii="Calibri" w:hAnsi="Calibri"/>
          <w:b/>
          <w:i w:val="0"/>
          <w:color w:val="4A5765"/>
          <w:sz w:val="21"/>
        </w:rPr>
        <w:t>dos números distintos</w:t>
      </w:r>
      <w:r>
        <w:rPr>
          <w:rFonts w:ascii="Calibri" w:hAnsi="Calibri"/>
          <w:b w:val="0"/>
          <w:i w:val="0"/>
          <w:color w:val="4A5765"/>
          <w:sz w:val="21"/>
        </w:rPr>
        <w:t>, y el que cuenta para decidir es el segundo — la diferencia contra lo que el sistema actual ya acertaba.</w:t>
      </w:r>
    </w:p>
    <w:p>
      <w:pPr>
        <w:pStyle w:val="Heading3"/>
        <w:spacing w:before="260" w:after="80"/>
      </w:pPr>
      <w:r>
        <w:rPr>
          <w:rFonts w:ascii="Calibri" w:hAnsi="Calibri"/>
          <w:b/>
          <w:i w:val="0"/>
          <w:color w:val="2A78D6"/>
          <w:sz w:val="23"/>
        </w:rPr>
        <w:t>1 · El valor de lo que el modelo acierta — 57 pesos</w:t>
      </w:r>
    </w:p>
    <w:p>
      <w:pPr>
        <w:spacing w:before="0" w:after="200" w:line="293" w:lineRule="auto"/>
      </w:pPr>
      <w:r>
        <w:rPr>
          <w:rFonts w:ascii="Calibri" w:hAnsi="Calibri"/>
          <w:b w:val="0"/>
          <w:i w:val="0"/>
          <w:color w:val="4A5765"/>
          <w:sz w:val="21"/>
        </w:rPr>
        <w:t xml:space="preserve">Es la suma de los productos que el modelo sugirió y el cliente efectivamente compró ese mes. </w:t>
      </w:r>
      <w:r>
        <w:rPr>
          <w:rFonts w:ascii="Calibri" w:hAnsi="Calibri"/>
          <w:b/>
          <w:i w:val="0"/>
          <w:color w:val="4A5765"/>
          <w:sz w:val="21"/>
        </w:rPr>
        <w:t>Son pesos por cliente y por mes</w:t>
      </w:r>
      <w:r>
        <w:rPr>
          <w:rFonts w:ascii="Calibri" w:hAnsi="Calibri"/>
          <w:b w:val="0"/>
          <w:i w:val="0"/>
          <w:color w:val="4A5765"/>
          <w:sz w:val="21"/>
        </w:rPr>
        <w:t xml:space="preserve">, repartidos entre 3,47 visitas: 16,5 pesos en cada visita, sobre un ticket medio de 439. Es el </w:t>
      </w:r>
      <w:r>
        <w:rPr>
          <w:rFonts w:ascii="Calibri" w:hAnsi="Calibri"/>
          <w:b/>
          <w:i w:val="0"/>
          <w:color w:val="4A5765"/>
          <w:sz w:val="21"/>
        </w:rPr>
        <w:t>3,8 %</w:t>
      </w:r>
      <w:r>
        <w:rPr>
          <w:rFonts w:ascii="Calibri" w:hAnsi="Calibri"/>
          <w:b w:val="0"/>
          <w:i w:val="0"/>
          <w:color w:val="4A5765"/>
          <w:sz w:val="21"/>
        </w:rPr>
        <w:t xml:space="preserve"> de los 1.520 pesos que ese cliente ya gasta al mes. Compararla contra el ticket de </w:t>
      </w:r>
      <w:r>
        <w:rPr>
          <w:rFonts w:ascii="Calibri" w:hAnsi="Calibri"/>
          <w:b/>
          <w:i w:val="0"/>
          <w:color w:val="4A5765"/>
          <w:sz w:val="21"/>
        </w:rPr>
        <w:t>una</w:t>
      </w:r>
      <w:r>
        <w:rPr>
          <w:rFonts w:ascii="Calibri" w:hAnsi="Calibri"/>
          <w:b w:val="0"/>
          <w:i w:val="0"/>
          <w:color w:val="4A5765"/>
          <w:sz w:val="21"/>
        </w:rPr>
        <w:t xml:space="preserve"> visita da 13 % y es la lectura equivocada: cruza un mes contra una visita.</w:t>
      </w:r>
    </w:p>
    <w:p>
      <w:pPr>
        <w:pStyle w:val="Heading3"/>
        <w:spacing w:before="260" w:after="80"/>
      </w:pPr>
      <w:r>
        <w:rPr>
          <w:rFonts w:ascii="Calibri" w:hAnsi="Calibri"/>
          <w:b/>
          <w:i w:val="0"/>
          <w:color w:val="2A78D6"/>
          <w:sz w:val="23"/>
        </w:rPr>
        <w:t>2 · La ganancia sobre el sistema actual — 16 pesos</w:t>
      </w:r>
    </w:p>
    <w:p>
      <w:pPr>
        <w:spacing w:before="0" w:after="200" w:line="293" w:lineRule="auto"/>
      </w:pPr>
      <w:r>
        <w:rPr>
          <w:rFonts w:ascii="Calibri" w:hAnsi="Calibri"/>
          <w:b w:val="0"/>
          <w:i w:val="0"/>
          <w:color w:val="4A5765"/>
          <w:sz w:val="21"/>
        </w:rPr>
        <w:t xml:space="preserve">El sistema de hoy ya acierta 41 pesos por cliente-mes por su cuenta. Lo que cambia por reemplazarlo es la diferencia — </w:t>
      </w:r>
      <w:r>
        <w:rPr>
          <w:rFonts w:ascii="Calibri" w:hAnsi="Calibri"/>
          <w:b/>
          <w:i w:val="0"/>
          <w:color w:val="4A5765"/>
          <w:sz w:val="21"/>
        </w:rPr>
        <w:t>nadie va a facturar dos veces lo que el modelo actual ya acertaba</w:t>
      </w:r>
      <w:r>
        <w:rPr>
          <w:rFonts w:ascii="Calibri" w:hAnsi="Calibri"/>
          <w:b w:val="0"/>
          <w:i w:val="0"/>
          <w:color w:val="4A5765"/>
          <w:sz w:val="21"/>
        </w:rPr>
        <w:t>.</w:t>
      </w:r>
    </w:p>
    <w:tbl>
      <w:tblPr>
        <w:tblW w:type="pct" w:w="5000"/>
        <w:jc w:val="left"/>
        <w:tblBorders>
          <w:top w:val="single" w:sz="6" w:space="0" w:color="10161D"/>
          <w:left w:val="none" w:sz="0" w:space="0" w:color="auto"/>
          <w:bottom w:val="single" w:sz="6" w:space="0" w:color="10161D"/>
          <w:right w:val="none" w:sz="0" w:space="0" w:color="auto"/>
          <w:insideH w:val="single" w:sz="4" w:space="0" w:color="E7ECF1"/>
          <w:insideV w:val="none" w:sz="0" w:space="0" w:color="auto"/>
        </w:tblBorders>
        <w:tblCellMar>
          <w:top w:w="70" w:type="dxa"/>
          <w:left w:w="100" w:type="dxa"/>
          <w:bottom w:w="70" w:type="dxa"/>
          <w:right w:w="100" w:type="dxa"/>
        </w:tblCellMar>
        <w:tblLook w:firstColumn="1" w:firstRow="1" w:lastColumn="0" w:lastRow="0" w:noHBand="0" w:noVBand="1" w:val="04A0"/>
      </w:tblPr>
      <w:tblGrid>
        <w:gridCol w:w="2379"/>
        <w:gridCol w:w="2379"/>
        <w:gridCol w:w="2379"/>
        <w:gridCol w:w="2379"/>
      </w:tblGrid>
      <w:tr>
        <w:trPr>
          <w:cantSplit/>
        </w:trPr>
        <w:tc>
          <w:tcPr>
            <w:tcW w:type="dxa" w:w="2379"/>
            <w:shd w:val="clear" w:fill="EEF1F5"/>
          </w:tcPr>
          <w:p>
            <w:pPr>
              <w:spacing w:after="40"/>
            </w:pPr>
            <w:r>
              <w:rPr>
                <w:rFonts w:ascii="Calibri" w:hAnsi="Calibri"/>
                <w:b/>
                <w:i w:val="0"/>
                <w:color w:val="10161D"/>
                <w:sz w:val="18"/>
              </w:rPr>
              <w:t>Concepto</w:t>
            </w:r>
          </w:p>
        </w:tc>
        <w:tc>
          <w:tcPr>
            <w:tcW w:type="dxa" w:w="2379"/>
            <w:shd w:val="clear" w:fill="EEF1F5"/>
          </w:tcPr>
          <w:p>
            <w:pPr>
              <w:spacing w:after="40"/>
              <w:jc w:val="right"/>
            </w:pPr>
            <w:r>
              <w:rPr>
                <w:rFonts w:ascii="Calibri" w:hAnsi="Calibri"/>
                <w:b/>
                <w:i w:val="0"/>
                <w:color w:val="10161D"/>
                <w:sz w:val="18"/>
              </w:rPr>
              <w:t>Pesos/cliente-mes</w:t>
            </w:r>
          </w:p>
        </w:tc>
        <w:tc>
          <w:tcPr>
            <w:tcW w:type="dxa" w:w="2379"/>
            <w:shd w:val="clear" w:fill="EEF1F5"/>
          </w:tcPr>
          <w:p>
            <w:pPr>
              <w:spacing w:after="40"/>
              <w:jc w:val="right"/>
            </w:pPr>
            <w:r>
              <w:rPr>
                <w:rFonts w:ascii="Calibri" w:hAnsi="Calibri"/>
                <w:b/>
                <w:i w:val="0"/>
                <w:color w:val="10161D"/>
                <w:sz w:val="18"/>
              </w:rPr>
              <w:t>Por visita</w:t>
            </w:r>
          </w:p>
        </w:tc>
        <w:tc>
          <w:tcPr>
            <w:tcW w:type="dxa" w:w="2379"/>
            <w:shd w:val="clear" w:fill="EEF1F5"/>
          </w:tcPr>
          <w:p>
            <w:pPr>
              <w:spacing w:after="40"/>
              <w:jc w:val="right"/>
            </w:pPr>
            <w:r>
              <w:rPr>
                <w:rFonts w:ascii="Calibri" w:hAnsi="Calibri"/>
                <w:b/>
                <w:i w:val="0"/>
                <w:color w:val="10161D"/>
                <w:sz w:val="18"/>
              </w:rPr>
              <w:t>% del gasto mensual</w:t>
            </w:r>
          </w:p>
        </w:tc>
      </w:tr>
      <w:tr>
        <w:trPr>
          <w:cantSplit/>
        </w:trPr>
        <w:tc>
          <w:tcPr>
            <w:tcW w:type="dxa" w:w="2379"/>
          </w:tcPr>
          <w:p>
            <w:pPr>
              <w:spacing w:after="40"/>
            </w:pPr>
            <w:r>
              <w:rPr>
                <w:rFonts w:ascii="Calibri" w:hAnsi="Calibri"/>
                <w:b w:val="0"/>
                <w:i w:val="0"/>
                <w:color w:val="4A5765"/>
                <w:sz w:val="19"/>
              </w:rPr>
              <w:t>Acierta el sistema actual (B1)</w:t>
            </w:r>
          </w:p>
        </w:tc>
        <w:tc>
          <w:tcPr>
            <w:tcW w:type="dxa" w:w="2379"/>
          </w:tcPr>
          <w:p>
            <w:pPr>
              <w:spacing w:after="40"/>
              <w:jc w:val="right"/>
            </w:pPr>
            <w:r>
              <w:rPr>
                <w:rFonts w:ascii="Consolas" w:hAnsi="Consolas"/>
                <w:b w:val="0"/>
                <w:i w:val="0"/>
                <w:color w:val="4A5765"/>
                <w:sz w:val="19"/>
              </w:rPr>
              <w:t>41,2</w:t>
            </w:r>
          </w:p>
        </w:tc>
        <w:tc>
          <w:tcPr>
            <w:tcW w:type="dxa" w:w="2379"/>
          </w:tcPr>
          <w:p>
            <w:pPr>
              <w:spacing w:after="40"/>
              <w:jc w:val="right"/>
            </w:pPr>
            <w:r>
              <w:rPr>
                <w:rFonts w:ascii="Consolas" w:hAnsi="Consolas"/>
                <w:b w:val="0"/>
                <w:i w:val="0"/>
                <w:color w:val="4A5765"/>
                <w:sz w:val="19"/>
              </w:rPr>
              <w:t>11,9</w:t>
            </w:r>
          </w:p>
        </w:tc>
        <w:tc>
          <w:tcPr>
            <w:tcW w:type="dxa" w:w="2379"/>
          </w:tcPr>
          <w:p>
            <w:pPr>
              <w:spacing w:after="40"/>
              <w:jc w:val="right"/>
            </w:pPr>
            <w:r>
              <w:rPr>
                <w:rFonts w:ascii="Consolas" w:hAnsi="Consolas"/>
                <w:b w:val="0"/>
                <w:i w:val="0"/>
                <w:color w:val="4A5765"/>
                <w:sz w:val="19"/>
              </w:rPr>
              <w:t>2,7 %</w:t>
            </w:r>
          </w:p>
        </w:tc>
      </w:tr>
      <w:tr>
        <w:trPr>
          <w:cantSplit/>
        </w:trPr>
        <w:tc>
          <w:tcPr>
            <w:tcW w:type="dxa" w:w="2379"/>
          </w:tcPr>
          <w:p>
            <w:pPr>
              <w:spacing w:after="40"/>
            </w:pPr>
            <w:r>
              <w:rPr>
                <w:rFonts w:ascii="Calibri" w:hAnsi="Calibri"/>
                <w:b w:val="0"/>
                <w:i w:val="0"/>
                <w:color w:val="4A5765"/>
                <w:sz w:val="19"/>
              </w:rPr>
              <w:t>Acierta el modelo propuesto (P3)</w:t>
            </w:r>
          </w:p>
        </w:tc>
        <w:tc>
          <w:tcPr>
            <w:tcW w:type="dxa" w:w="2379"/>
          </w:tcPr>
          <w:p>
            <w:pPr>
              <w:spacing w:after="40"/>
              <w:jc w:val="right"/>
            </w:pPr>
            <w:r>
              <w:rPr>
                <w:rFonts w:ascii="Consolas" w:hAnsi="Consolas"/>
                <w:b w:val="0"/>
                <w:i w:val="0"/>
                <w:color w:val="4A5765"/>
                <w:sz w:val="19"/>
              </w:rPr>
              <w:t>57,2</w:t>
            </w:r>
          </w:p>
        </w:tc>
        <w:tc>
          <w:tcPr>
            <w:tcW w:type="dxa" w:w="2379"/>
          </w:tcPr>
          <w:p>
            <w:pPr>
              <w:spacing w:after="40"/>
              <w:jc w:val="right"/>
            </w:pPr>
            <w:r>
              <w:rPr>
                <w:rFonts w:ascii="Consolas" w:hAnsi="Consolas"/>
                <w:b w:val="0"/>
                <w:i w:val="0"/>
                <w:color w:val="4A5765"/>
                <w:sz w:val="19"/>
              </w:rPr>
              <w:t>16,5</w:t>
            </w:r>
          </w:p>
        </w:tc>
        <w:tc>
          <w:tcPr>
            <w:tcW w:type="dxa" w:w="2379"/>
          </w:tcPr>
          <w:p>
            <w:pPr>
              <w:spacing w:after="40"/>
              <w:jc w:val="right"/>
            </w:pPr>
            <w:r>
              <w:rPr>
                <w:rFonts w:ascii="Consolas" w:hAnsi="Consolas"/>
                <w:b w:val="0"/>
                <w:i w:val="0"/>
                <w:color w:val="4A5765"/>
                <w:sz w:val="19"/>
              </w:rPr>
              <w:t>3,8 %</w:t>
            </w:r>
          </w:p>
        </w:tc>
      </w:tr>
      <w:tr>
        <w:trPr>
          <w:cantSplit/>
        </w:trPr>
        <w:tc>
          <w:tcPr>
            <w:tcW w:type="dxa" w:w="2379"/>
          </w:tcPr>
          <w:p>
            <w:pPr>
              <w:spacing w:after="40"/>
            </w:pPr>
            <w:r>
              <w:rPr>
                <w:rFonts w:ascii="Calibri" w:hAnsi="Calibri"/>
                <w:b/>
                <w:i w:val="0"/>
                <w:color w:val="10161D"/>
                <w:sz w:val="19"/>
              </w:rPr>
              <w:t>Diferencia — lo que aporta el cambio</w:t>
            </w:r>
          </w:p>
        </w:tc>
        <w:tc>
          <w:tcPr>
            <w:tcW w:type="dxa" w:w="2379"/>
          </w:tcPr>
          <w:p>
            <w:pPr>
              <w:spacing w:after="40"/>
              <w:jc w:val="right"/>
            </w:pPr>
            <w:r>
              <w:rPr>
                <w:rFonts w:ascii="Consolas" w:hAnsi="Consolas"/>
                <w:b/>
                <w:i w:val="0"/>
                <w:color w:val="10161D"/>
                <w:sz w:val="19"/>
              </w:rPr>
              <w:t>16,0</w:t>
            </w:r>
          </w:p>
        </w:tc>
        <w:tc>
          <w:tcPr>
            <w:tcW w:type="dxa" w:w="2379"/>
          </w:tcPr>
          <w:p>
            <w:pPr>
              <w:spacing w:after="40"/>
              <w:jc w:val="right"/>
            </w:pPr>
            <w:r>
              <w:rPr>
                <w:rFonts w:ascii="Consolas" w:hAnsi="Consolas"/>
                <w:b/>
                <w:i w:val="0"/>
                <w:color w:val="10161D"/>
                <w:sz w:val="19"/>
              </w:rPr>
              <w:t>4,6</w:t>
            </w:r>
          </w:p>
        </w:tc>
        <w:tc>
          <w:tcPr>
            <w:tcW w:type="dxa" w:w="2379"/>
          </w:tcPr>
          <w:p>
            <w:pPr>
              <w:spacing w:after="40"/>
              <w:jc w:val="right"/>
            </w:pPr>
            <w:r>
              <w:rPr>
                <w:rFonts w:ascii="Consolas" w:hAnsi="Consolas"/>
                <w:b/>
                <w:i w:val="0"/>
                <w:color w:val="10161D"/>
                <w:sz w:val="19"/>
              </w:rPr>
              <w:t>1,1 %</w:t>
            </w:r>
          </w:p>
        </w:tc>
      </w:tr>
    </w:tbl>
    <w:p>
      <w:pPr>
        <w:spacing w:before="0" w:after="80" w:line="293" w:lineRule="auto"/>
      </w:pPr>
    </w:p>
    <w:p>
      <w:pPr>
        <w:keepNext/>
        <w:spacing w:before="440" w:after="40" w:line="293" w:lineRule="auto"/>
      </w:pPr>
      <w:r>
        <w:rPr>
          <w:rFonts w:ascii="Consolas" w:hAnsi="Consolas"/>
          <w:b/>
          <w:i w:val="0"/>
          <w:color w:val="2A78D6"/>
          <w:sz w:val="18"/>
        </w:rPr>
        <w:t>06 · HALLAZGOS</w:t>
      </w:r>
    </w:p>
    <w:p>
      <w:pPr>
        <w:pStyle w:val="Heading1"/>
        <w:spacing w:before="400" w:after="140"/>
      </w:pPr>
      <w:r>
        <w:rPr>
          <w:rFonts w:ascii="Calibri" w:hAnsi="Calibri"/>
          <w:b/>
          <w:i w:val="0"/>
          <w:color w:val="10161D"/>
          <w:sz w:val="34"/>
        </w:rPr>
        <w:t>Cinco cosas que este análisis dejó claras</w:t>
      </w:r>
    </w:p>
    <w:p>
      <w:pPr>
        <w:pStyle w:val="Heading3"/>
        <w:spacing w:before="260" w:after="80"/>
      </w:pPr>
      <w:r>
        <w:rPr>
          <w:rFonts w:ascii="Calibri" w:hAnsi="Calibri"/>
          <w:b/>
          <w:i w:val="0"/>
          <w:color w:val="2A78D6"/>
          <w:sz w:val="23"/>
        </w:rPr>
        <w:t>El «cuándo» ya está resuelto</w:t>
      </w:r>
    </w:p>
    <w:p>
      <w:pPr>
        <w:spacing w:before="0" w:after="160" w:line="293" w:lineRule="auto"/>
      </w:pPr>
      <w:r>
        <w:rPr>
          <w:rFonts w:ascii="Calibri" w:hAnsi="Calibri"/>
          <w:b w:val="0"/>
          <w:i w:val="0"/>
          <w:color w:val="4A5765"/>
          <w:sz w:val="20"/>
        </w:rPr>
        <w:t>El 48,6 % de los intervalos entre compras son de exactamente siete días. El calendario lo pone la ruta, no el cliente. No hay que predecir el momento — hay que decidir qué ofrecer cuando llegue.</w:t>
      </w:r>
    </w:p>
    <w:p>
      <w:pPr>
        <w:pStyle w:val="Heading3"/>
        <w:spacing w:before="260" w:after="80"/>
      </w:pPr>
      <w:r>
        <w:rPr>
          <w:rFonts w:ascii="Calibri" w:hAnsi="Calibri"/>
          <w:b/>
          <w:i w:val="0"/>
          <w:color w:val="2A78D6"/>
          <w:sz w:val="23"/>
        </w:rPr>
        <w:t>La premisa del sistema actual es correcta</w:t>
      </w:r>
    </w:p>
    <w:p>
      <w:pPr>
        <w:spacing w:before="0" w:after="160" w:line="293" w:lineRule="auto"/>
      </w:pPr>
      <w:r>
        <w:rPr>
          <w:rFonts w:ascii="Calibri" w:hAnsi="Calibri"/>
          <w:b w:val="0"/>
          <w:i w:val="0"/>
          <w:color w:val="4A5765"/>
          <w:sz w:val="20"/>
        </w:rPr>
        <w:t xml:space="preserve">La ruta aporta entre 15 y 20 puntos sobre la lista global, y no por surtido de almacén: el CEDIS no explica nada. </w:t>
      </w:r>
      <w:r>
        <w:rPr>
          <w:rFonts w:ascii="Calibri" w:hAnsi="Calibri"/>
          <w:b/>
          <w:i w:val="0"/>
          <w:color w:val="4A5765"/>
          <w:sz w:val="20"/>
        </w:rPr>
        <w:t>No hay que tirar el modelo actual, hay que afinarlo.</w:t>
      </w:r>
    </w:p>
    <w:p>
      <w:pPr>
        <w:pStyle w:val="Heading3"/>
        <w:spacing w:before="260" w:after="80"/>
      </w:pPr>
      <w:r>
        <w:rPr>
          <w:rFonts w:ascii="Calibri" w:hAnsi="Calibri"/>
          <w:b/>
          <w:i w:val="0"/>
          <w:color w:val="2A78D6"/>
          <w:sz w:val="23"/>
        </w:rPr>
        <w:t>Marca y afinidad son la señal desaprovechada</w:t>
      </w:r>
    </w:p>
    <w:p>
      <w:pPr>
        <w:spacing w:before="0" w:after="160" w:line="293" w:lineRule="auto"/>
      </w:pPr>
      <w:r>
        <w:rPr>
          <w:rFonts w:ascii="Calibri" w:hAnsi="Calibri"/>
          <w:b w:val="0"/>
          <w:i w:val="0"/>
          <w:color w:val="4A5765"/>
          <w:sz w:val="20"/>
        </w:rPr>
        <w:t>Concentran el 56,6 % de lo que usa el modelo. El sistema actual no mira ninguna de las dos. Ahí está el margen.</w:t>
      </w:r>
    </w:p>
    <w:p>
      <w:pPr>
        <w:pStyle w:val="Heading3"/>
        <w:spacing w:before="260" w:after="80"/>
      </w:pPr>
      <w:r>
        <w:rPr>
          <w:rFonts w:ascii="Calibri" w:hAnsi="Calibri"/>
          <w:b/>
          <w:i w:val="0"/>
          <w:color w:val="2A78D6"/>
          <w:sz w:val="23"/>
        </w:rPr>
        <w:t>La oportunidad más cercana ya está en casa</w:t>
      </w:r>
    </w:p>
    <w:p>
      <w:pPr>
        <w:spacing w:before="0" w:after="160" w:line="293" w:lineRule="auto"/>
      </w:pPr>
      <w:r>
        <w:rPr>
          <w:rFonts w:ascii="Calibri" w:hAnsi="Calibri"/>
          <w:b w:val="0"/>
          <w:i w:val="0"/>
          <w:color w:val="4A5765"/>
          <w:sz w:val="20"/>
        </w:rPr>
        <w:t>Cada cliente tiene unos 24,2 productos que ya compró alguna vez y hoy no está pidiendo. No hay que convencerlo: ya los vendió.</w:t>
      </w:r>
    </w:p>
    <w:p>
      <w:pPr>
        <w:pStyle w:val="Heading3"/>
        <w:spacing w:before="260" w:after="80"/>
      </w:pPr>
      <w:r>
        <w:rPr>
          <w:rFonts w:ascii="Calibri" w:hAnsi="Calibri"/>
          <w:b/>
          <w:i w:val="0"/>
          <w:color w:val="2A78D6"/>
          <w:sz w:val="23"/>
        </w:rPr>
        <w:t>El modelo necesita historia</w:t>
      </w:r>
    </w:p>
    <w:p>
      <w:pPr>
        <w:spacing w:before="0" w:after="160" w:line="293" w:lineRule="auto"/>
      </w:pPr>
      <w:r>
        <w:rPr>
          <w:rFonts w:ascii="Calibri" w:hAnsi="Calibri"/>
          <w:b w:val="0"/>
          <w:i w:val="0"/>
          <w:color w:val="4A5765"/>
          <w:sz w:val="20"/>
        </w:rPr>
        <w:t xml:space="preserve">Rinde mejor cuanto más sabe del cliente: de +6 puntos sobre el sistema actual en quienes llevan pocos productos a </w:t>
      </w:r>
      <w:r>
        <w:rPr>
          <w:rFonts w:ascii="Calibri" w:hAnsi="Calibri"/>
          <w:b/>
          <w:i w:val="0"/>
          <w:color w:val="4A5765"/>
          <w:sz w:val="20"/>
        </w:rPr>
        <w:t>+19 puntos</w:t>
      </w:r>
      <w:r>
        <w:rPr>
          <w:rFonts w:ascii="Calibri" w:hAnsi="Calibri"/>
          <w:b w:val="0"/>
          <w:i w:val="0"/>
          <w:color w:val="4A5765"/>
          <w:sz w:val="20"/>
        </w:rPr>
        <w:t xml:space="preserve"> en los de surtido amplio.</w:t>
      </w:r>
    </w:p>
    <w:p>
      <w:pPr>
        <w:pStyle w:val="Heading2"/>
        <w:spacing w:before="340" w:after="100"/>
      </w:pPr>
      <w:r>
        <w:rPr>
          <w:rFonts w:ascii="Calibri" w:hAnsi="Calibri"/>
          <w:b/>
          <w:i w:val="0"/>
          <w:color w:val="10161D"/>
          <w:sz w:val="26"/>
        </w:rPr>
        <w:t>Dónde funciona y dónde no</w:t>
      </w:r>
    </w:p>
    <w:tbl>
      <w:tblPr>
        <w:tblW w:type="pct" w:w="5000"/>
        <w:jc w:val="left"/>
        <w:tblBorders>
          <w:top w:val="single" w:sz="6" w:space="0" w:color="10161D"/>
          <w:left w:val="none" w:sz="0" w:space="0" w:color="auto"/>
          <w:bottom w:val="single" w:sz="6" w:space="0" w:color="10161D"/>
          <w:right w:val="none" w:sz="0" w:space="0" w:color="auto"/>
          <w:insideH w:val="single" w:sz="4" w:space="0" w:color="E7ECF1"/>
          <w:insideV w:val="none" w:sz="0" w:space="0" w:color="auto"/>
        </w:tblBorders>
        <w:tblCellMar>
          <w:top w:w="70" w:type="dxa"/>
          <w:left w:w="100" w:type="dxa"/>
          <w:bottom w:w="70" w:type="dxa"/>
          <w:right w:w="100" w:type="dxa"/>
        </w:tblCellMar>
        <w:tblLook w:firstColumn="1" w:firstRow="1" w:lastColumn="0" w:lastRow="0" w:noHBand="0" w:noVBand="1" w:val="04A0"/>
      </w:tblPr>
      <w:tblGrid>
        <w:gridCol w:w="1904"/>
        <w:gridCol w:w="1904"/>
        <w:gridCol w:w="1904"/>
        <w:gridCol w:w="1904"/>
        <w:gridCol w:w="1904"/>
      </w:tblGrid>
      <w:tr>
        <w:trPr>
          <w:cantSplit/>
        </w:trPr>
        <w:tc>
          <w:tcPr>
            <w:tcW w:type="dxa" w:w="1904"/>
            <w:shd w:val="clear" w:fill="EEF1F5"/>
          </w:tcPr>
          <w:p>
            <w:pPr>
              <w:spacing w:after="40"/>
            </w:pPr>
            <w:r>
              <w:rPr>
                <w:rFonts w:ascii="Calibri" w:hAnsi="Calibri"/>
                <w:b/>
                <w:i w:val="0"/>
                <w:color w:val="10161D"/>
                <w:sz w:val="18"/>
              </w:rPr>
              <w:t>Segmento</w:t>
            </w:r>
          </w:p>
        </w:tc>
        <w:tc>
          <w:tcPr>
            <w:tcW w:type="dxa" w:w="1904"/>
            <w:shd w:val="clear" w:fill="EEF1F5"/>
          </w:tcPr>
          <w:p>
            <w:pPr>
              <w:spacing w:after="40"/>
              <w:jc w:val="right"/>
            </w:pPr>
            <w:r>
              <w:rPr>
                <w:rFonts w:ascii="Calibri" w:hAnsi="Calibri"/>
                <w:b/>
                <w:i w:val="0"/>
                <w:color w:val="10161D"/>
                <w:sz w:val="18"/>
              </w:rPr>
              <w:t>Clientes</w:t>
            </w:r>
          </w:p>
        </w:tc>
        <w:tc>
          <w:tcPr>
            <w:tcW w:type="dxa" w:w="1904"/>
            <w:shd w:val="clear" w:fill="EEF1F5"/>
          </w:tcPr>
          <w:p>
            <w:pPr>
              <w:spacing w:after="40"/>
              <w:jc w:val="right"/>
            </w:pPr>
            <w:r>
              <w:rPr>
                <w:rFonts w:ascii="Calibri" w:hAnsi="Calibri"/>
                <w:b/>
                <w:i w:val="0"/>
                <w:color w:val="10161D"/>
                <w:sz w:val="18"/>
              </w:rPr>
              <w:t>B1</w:t>
            </w:r>
          </w:p>
        </w:tc>
        <w:tc>
          <w:tcPr>
            <w:tcW w:type="dxa" w:w="1904"/>
            <w:shd w:val="clear" w:fill="EEF1F5"/>
          </w:tcPr>
          <w:p>
            <w:pPr>
              <w:spacing w:after="40"/>
              <w:jc w:val="right"/>
            </w:pPr>
            <w:r>
              <w:rPr>
                <w:rFonts w:ascii="Calibri" w:hAnsi="Calibri"/>
                <w:b/>
                <w:i w:val="0"/>
                <w:color w:val="10161D"/>
                <w:sz w:val="18"/>
              </w:rPr>
              <w:t>P3</w:t>
            </w:r>
          </w:p>
        </w:tc>
        <w:tc>
          <w:tcPr>
            <w:tcW w:type="dxa" w:w="1904"/>
            <w:shd w:val="clear" w:fill="EEF1F5"/>
          </w:tcPr>
          <w:p>
            <w:pPr>
              <w:spacing w:after="40"/>
              <w:jc w:val="right"/>
            </w:pPr>
            <w:r>
              <w:rPr>
                <w:rFonts w:ascii="Calibri" w:hAnsi="Calibri"/>
                <w:b/>
                <w:i w:val="0"/>
                <w:color w:val="10161D"/>
                <w:sz w:val="18"/>
              </w:rPr>
              <w:t>Diferencia</w:t>
            </w:r>
          </w:p>
        </w:tc>
      </w:tr>
      <w:tr>
        <w:trPr>
          <w:cantSplit/>
        </w:trPr>
        <w:tc>
          <w:tcPr>
            <w:tcW w:type="dxa" w:w="1904"/>
          </w:tcPr>
          <w:p>
            <w:pPr>
              <w:spacing w:after="40"/>
            </w:pPr>
            <w:r>
              <w:rPr>
                <w:rFonts w:ascii="Calibri" w:hAnsi="Calibri"/>
                <w:b w:val="0"/>
                <w:i w:val="0"/>
                <w:color w:val="4A5765"/>
                <w:sz w:val="19"/>
              </w:rPr>
              <w:t>estables</w:t>
            </w:r>
          </w:p>
        </w:tc>
        <w:tc>
          <w:tcPr>
            <w:tcW w:type="dxa" w:w="1904"/>
          </w:tcPr>
          <w:p>
            <w:pPr>
              <w:spacing w:after="40"/>
              <w:jc w:val="right"/>
            </w:pPr>
            <w:r>
              <w:rPr>
                <w:rFonts w:ascii="Consolas" w:hAnsi="Consolas"/>
                <w:b w:val="0"/>
                <w:i w:val="0"/>
                <w:color w:val="4A5765"/>
                <w:sz w:val="19"/>
              </w:rPr>
              <w:t>22.176</w:t>
            </w:r>
          </w:p>
        </w:tc>
        <w:tc>
          <w:tcPr>
            <w:tcW w:type="dxa" w:w="1904"/>
          </w:tcPr>
          <w:p>
            <w:pPr>
              <w:spacing w:after="40"/>
              <w:jc w:val="right"/>
            </w:pPr>
            <w:r>
              <w:rPr>
                <w:rFonts w:ascii="Consolas" w:hAnsi="Consolas"/>
                <w:b w:val="0"/>
                <w:i w:val="0"/>
                <w:color w:val="4A5765"/>
                <w:sz w:val="19"/>
              </w:rPr>
              <w:t>45,6 %</w:t>
            </w:r>
          </w:p>
        </w:tc>
        <w:tc>
          <w:tcPr>
            <w:tcW w:type="dxa" w:w="1904"/>
          </w:tcPr>
          <w:p>
            <w:pPr>
              <w:spacing w:after="40"/>
              <w:jc w:val="right"/>
            </w:pPr>
            <w:r>
              <w:rPr>
                <w:rFonts w:ascii="Consolas" w:hAnsi="Consolas"/>
                <w:b w:val="0"/>
                <w:i w:val="0"/>
                <w:color w:val="4A5765"/>
                <w:sz w:val="19"/>
              </w:rPr>
              <w:t>57,3 %</w:t>
            </w:r>
          </w:p>
        </w:tc>
        <w:tc>
          <w:tcPr>
            <w:tcW w:type="dxa" w:w="1904"/>
          </w:tcPr>
          <w:p>
            <w:pPr>
              <w:spacing w:after="40"/>
              <w:jc w:val="right"/>
            </w:pPr>
            <w:r>
              <w:rPr>
                <w:rFonts w:ascii="Consolas" w:hAnsi="Consolas"/>
                <w:b w:val="0"/>
                <w:i w:val="0"/>
                <w:color w:val="4A5765"/>
                <w:sz w:val="19"/>
              </w:rPr>
              <w:t>+11,8</w:t>
            </w:r>
          </w:p>
        </w:tc>
      </w:tr>
      <w:tr>
        <w:trPr>
          <w:cantSplit/>
        </w:trPr>
        <w:tc>
          <w:tcPr>
            <w:tcW w:type="dxa" w:w="1904"/>
          </w:tcPr>
          <w:p>
            <w:pPr>
              <w:spacing w:after="40"/>
            </w:pPr>
            <w:r>
              <w:rPr>
                <w:rFonts w:ascii="Calibri" w:hAnsi="Calibri"/>
                <w:b w:val="0"/>
                <w:i w:val="0"/>
                <w:color w:val="4A5765"/>
                <w:sz w:val="19"/>
              </w:rPr>
              <w:t>nuevas jun2026</w:t>
            </w:r>
          </w:p>
        </w:tc>
        <w:tc>
          <w:tcPr>
            <w:tcW w:type="dxa" w:w="1904"/>
          </w:tcPr>
          <w:p>
            <w:pPr>
              <w:spacing w:after="40"/>
              <w:jc w:val="right"/>
            </w:pPr>
            <w:r>
              <w:rPr>
                <w:rFonts w:ascii="Consolas" w:hAnsi="Consolas"/>
                <w:b w:val="0"/>
                <w:i w:val="0"/>
                <w:color w:val="4A5765"/>
                <w:sz w:val="19"/>
              </w:rPr>
              <w:t>2.402</w:t>
            </w:r>
          </w:p>
        </w:tc>
        <w:tc>
          <w:tcPr>
            <w:tcW w:type="dxa" w:w="1904"/>
          </w:tcPr>
          <w:p>
            <w:pPr>
              <w:spacing w:after="40"/>
              <w:jc w:val="right"/>
            </w:pPr>
            <w:r>
              <w:rPr>
                <w:rFonts w:ascii="Consolas" w:hAnsi="Consolas"/>
                <w:b w:val="0"/>
                <w:i w:val="0"/>
                <w:color w:val="4A5765"/>
                <w:sz w:val="19"/>
              </w:rPr>
              <w:t>77,2 %</w:t>
            </w:r>
          </w:p>
        </w:tc>
        <w:tc>
          <w:tcPr>
            <w:tcW w:type="dxa" w:w="1904"/>
          </w:tcPr>
          <w:p>
            <w:pPr>
              <w:spacing w:after="40"/>
              <w:jc w:val="right"/>
            </w:pPr>
            <w:r>
              <w:rPr>
                <w:rFonts w:ascii="Consolas" w:hAnsi="Consolas"/>
                <w:b w:val="0"/>
                <w:i w:val="0"/>
                <w:color w:val="4A5765"/>
                <w:sz w:val="19"/>
              </w:rPr>
              <w:t>72,2 %</w:t>
            </w:r>
          </w:p>
        </w:tc>
        <w:tc>
          <w:tcPr>
            <w:tcW w:type="dxa" w:w="1904"/>
          </w:tcPr>
          <w:p>
            <w:pPr>
              <w:spacing w:after="40"/>
              <w:jc w:val="right"/>
            </w:pPr>
            <w:r>
              <w:rPr>
                <w:rFonts w:ascii="Consolas" w:hAnsi="Consolas"/>
                <w:b w:val="0"/>
                <w:i w:val="0"/>
                <w:color w:val="4A5765"/>
                <w:sz w:val="19"/>
              </w:rPr>
              <w:t>−5,0</w:t>
            </w:r>
          </w:p>
        </w:tc>
      </w:tr>
    </w:tbl>
    <w:p>
      <w:pPr>
        <w:spacing w:before="0" w:after="80" w:line="293" w:lineRule="auto"/>
      </w:pPr>
    </w:p>
    <w:p>
      <w:pPr>
        <w:spacing w:before="0" w:after="200" w:line="293" w:lineRule="auto"/>
      </w:pPr>
      <w:r>
        <w:rPr>
          <w:rFonts w:ascii="Calibri" w:hAnsi="Calibri"/>
          <w:b w:val="0"/>
          <w:i/>
          <w:color w:val="78848F"/>
          <w:sz w:val="19"/>
        </w:rPr>
        <w:t xml:space="preserve">El modelo gana con holgura donde el cliente tiene historia y </w:t>
      </w:r>
      <w:r>
        <w:rPr>
          <w:rFonts w:ascii="Calibri" w:hAnsi="Calibri"/>
          <w:b/>
          <w:i/>
          <w:color w:val="78848F"/>
          <w:sz w:val="19"/>
        </w:rPr>
        <w:t>pierde donde no la tiene</w:t>
      </w:r>
      <w:r>
        <w:rPr>
          <w:rFonts w:ascii="Calibri" w:hAnsi="Calibri"/>
          <w:b w:val="0"/>
          <w:i/>
          <w:color w:val="78848F"/>
          <w:sz w:val="19"/>
        </w:rPr>
        <w:t>: sus variables principales se calculan sobre compras pasadas y quedan vacías. De ahí P4, que enruta por historia del cliente.</w:t>
      </w:r>
    </w:p>
    <w:tbl>
      <w:tblPr>
        <w:tblW w:type="pct" w:w="5000"/>
        <w:tblBorders>
          <w:top w:val="single" w:sz="4" w:space="0" w:color="C5E3D7"/>
          <w:left w:val="single" w:sz="18" w:space="0" w:color="2A78D6"/>
          <w:bottom w:val="single" w:sz="4" w:space="0" w:color="C5E3D7"/>
          <w:right w:val="single" w:sz="4" w:space="0" w:color="C5E3D7"/>
          <w:insideH w:val="none" w:sz="0" w:space="0" w:color="auto"/>
          <w:insideV w:val="none" w:sz="0" w:space="0" w:color="auto"/>
        </w:tblBorders>
        <w:tblCellMar>
          <w:top w:w="140" w:type="dxa"/>
          <w:left w:w="180" w:type="dxa"/>
          <w:bottom w:w="140" w:type="dxa"/>
          <w:right w:w="180" w:type="dxa"/>
        </w:tblCellMar>
        <w:tblLook w:firstColumn="1" w:firstRow="1" w:lastColumn="0" w:lastRow="0" w:noHBand="0" w:noVBand="1" w:val="04A0"/>
      </w:tblPr>
      <w:tblGrid>
        <w:gridCol w:w="9518"/>
      </w:tblGrid>
      <w:tr>
        <w:trPr>
          <w:cantSplit/>
        </w:trPr>
        <w:tc>
          <w:tcPr>
            <w:tcW w:type="dxa" w:w="9518"/>
            <w:shd w:val="clear" w:fill="F0F7F4"/>
          </w:tcPr>
          <w:p>
            <w:pPr>
              <w:spacing w:after="100"/>
            </w:pPr>
            <w:r>
              <w:rPr>
                <w:rFonts w:ascii="Calibri" w:hAnsi="Calibri"/>
                <w:b/>
                <w:i w:val="0"/>
                <w:color w:val="10161D"/>
                <w:sz w:val="17"/>
              </w:rPr>
              <w:t>LO QUE CONVIENE EMPEZAR A HACER YA</w:t>
            </w:r>
          </w:p>
          <w:p>
            <w:pPr>
              <w:spacing w:after="100" w:line="288" w:lineRule="auto"/>
            </w:pPr>
            <w:r>
              <w:rPr>
                <w:rFonts w:ascii="Calibri" w:hAnsi="Calibri"/>
                <w:b/>
                <w:i w:val="0"/>
                <w:color w:val="4A5765"/>
                <w:sz w:val="20"/>
              </w:rPr>
              <w:t>Registrar qué recomienda el sistema y qué se compra de eso.</w:t>
            </w:r>
            <w:r>
              <w:rPr>
                <w:rFonts w:ascii="Calibri" w:hAnsi="Calibri"/>
                <w:b w:val="0"/>
                <w:i w:val="0"/>
                <w:color w:val="4A5765"/>
                <w:sz w:val="20"/>
              </w:rPr>
              <w:t xml:space="preserve"> Hoy la base guarda compras, no ofertas: no hay forma de saber qué se sugirió y el cliente no tomó.</w:t>
            </w:r>
          </w:p>
          <w:p>
            <w:pPr>
              <w:spacing w:after="0" w:line="288" w:lineRule="auto"/>
            </w:pPr>
            <w:r>
              <w:rPr>
                <w:rFonts w:ascii="Calibri" w:hAnsi="Calibri"/>
                <w:b w:val="0"/>
                <w:i w:val="0"/>
                <w:color w:val="4A5765"/>
                <w:sz w:val="20"/>
              </w:rPr>
              <w:t xml:space="preserve">Ese dato no se puede reconstruir hacia atrás y es lo único que permitiría aprender de los rechazos, medir el sistema que ya opera y evaluar sin depender de reconstrucciones. </w:t>
            </w:r>
            <w:r>
              <w:rPr>
                <w:rFonts w:ascii="Calibri" w:hAnsi="Calibri"/>
                <w:b/>
                <w:i w:val="0"/>
                <w:color w:val="4A5765"/>
                <w:sz w:val="20"/>
              </w:rPr>
              <w:t>No cuesta nada empezar hoy.</w:t>
            </w:r>
          </w:p>
        </w:tc>
      </w:tr>
    </w:tbl>
    <w:p>
      <w:pPr>
        <w:spacing w:before="0" w:after="120" w:line="293" w:lineRule="auto"/>
      </w:pPr>
    </w:p>
    <w:p>
      <w:pPr>
        <w:keepNext/>
        <w:spacing w:before="440" w:after="40" w:line="293" w:lineRule="auto"/>
      </w:pPr>
      <w:r>
        <w:rPr>
          <w:rFonts w:ascii="Consolas" w:hAnsi="Consolas"/>
          <w:b/>
          <w:i w:val="0"/>
          <w:color w:val="2A78D6"/>
          <w:sz w:val="18"/>
        </w:rPr>
        <w:t>07 · SIGUIENTE PASO</w:t>
      </w:r>
    </w:p>
    <w:p>
      <w:pPr>
        <w:pStyle w:val="Heading1"/>
        <w:spacing w:before="400" w:after="140"/>
      </w:pPr>
      <w:r>
        <w:rPr>
          <w:rFonts w:ascii="Calibri" w:hAnsi="Calibri"/>
          <w:b/>
          <w:i w:val="0"/>
          <w:color w:val="10161D"/>
          <w:sz w:val="34"/>
        </w:rPr>
        <w:t>Cómo comprobar que esto sirve de verdad</w:t>
      </w:r>
    </w:p>
    <w:p>
      <w:pPr>
        <w:spacing w:before="0" w:after="240" w:line="293" w:lineRule="auto"/>
      </w:pPr>
      <w:r>
        <w:rPr>
          <w:rFonts w:ascii="Calibri" w:hAnsi="Calibri"/>
          <w:b w:val="0"/>
          <w:i w:val="0"/>
          <w:color w:val="10161D"/>
          <w:sz w:val="23"/>
        </w:rPr>
        <w:t xml:space="preserve">Todo lo anterior mide </w:t>
      </w:r>
      <w:r>
        <w:rPr>
          <w:rFonts w:ascii="Calibri" w:hAnsi="Calibri"/>
          <w:b/>
          <w:i w:val="0"/>
          <w:color w:val="10161D"/>
          <w:sz w:val="23"/>
        </w:rPr>
        <w:t>capacidad de predicción</w:t>
      </w:r>
      <w:r>
        <w:rPr>
          <w:rFonts w:ascii="Calibri" w:hAnsi="Calibri"/>
          <w:b w:val="0"/>
          <w:i w:val="0"/>
          <w:color w:val="10161D"/>
          <w:sz w:val="23"/>
        </w:rPr>
        <w:t xml:space="preserve">, no impacto. Que el modelo acierte qué comprará un cliente no prueba que la sugerencia lo haya causado: quizá lo iba a pedir de todos modos. </w:t>
      </w:r>
      <w:r>
        <w:rPr>
          <w:rFonts w:ascii="Calibri" w:hAnsi="Calibri"/>
          <w:b/>
          <w:i w:val="0"/>
          <w:color w:val="10161D"/>
          <w:sz w:val="23"/>
        </w:rPr>
        <w:t>Lo único que lo demuestra es un experimento con grupo de control</w:t>
      </w:r>
      <w:r>
        <w:rPr>
          <w:rFonts w:ascii="Calibri" w:hAnsi="Calibri"/>
          <w:b w:val="0"/>
          <w:i w:val="0"/>
          <w:color w:val="10161D"/>
          <w:sz w:val="23"/>
        </w:rPr>
        <w:t xml:space="preserve"> — lo que se conoce como una prueba A/B.</w:t>
      </w:r>
    </w:p>
    <w:p>
      <w:pPr>
        <w:spacing w:before="0" w:after="200" w:line="293" w:lineRule="auto"/>
      </w:pPr>
      <w:r>
        <w:rPr>
          <w:rFonts w:ascii="Calibri" w:hAnsi="Calibri"/>
          <w:b w:val="0"/>
          <w:i w:val="0"/>
          <w:color w:val="4A5765"/>
          <w:sz w:val="21"/>
        </w:rPr>
        <w:t xml:space="preserve">La idea es simple: </w:t>
      </w:r>
      <w:r>
        <w:rPr>
          <w:rFonts w:ascii="Calibri" w:hAnsi="Calibri"/>
          <w:b/>
          <w:i w:val="0"/>
          <w:color w:val="4A5765"/>
          <w:sz w:val="21"/>
        </w:rPr>
        <w:t>un grupo de rutas trabaja con el modelo nuevo y otro sigue con el sistema de siempre, durante el mismo periodo y en las mismas condiciones.</w:t>
      </w:r>
      <w:r>
        <w:rPr>
          <w:rFonts w:ascii="Calibri" w:hAnsi="Calibri"/>
          <w:b w:val="0"/>
          <w:i w:val="0"/>
          <w:color w:val="4A5765"/>
          <w:sz w:val="21"/>
        </w:rPr>
        <w:t xml:space="preserve"> Si al final el primero vende más SKU por visita, la diferencia solo puede venir del cambio — porque todo lo demás fue igual para ambos.</w:t>
      </w:r>
    </w:p>
    <w:p>
      <w:pPr>
        <w:spacing w:before="0" w:after="200" w:line="293" w:lineRule="auto"/>
      </w:pPr>
      <w:r>
        <w:rPr>
          <w:rFonts w:ascii="Calibri" w:hAnsi="Calibri"/>
          <w:b w:val="0"/>
          <w:i w:val="0"/>
          <w:color w:val="4A5765"/>
          <w:sz w:val="21"/>
        </w:rPr>
        <w:t>Sin ese segundo grupo no hay forma de saberlo. Comparar contra el mes anterior no sirve: entremedio cambian la temporada, los precios, las promociones y media docena de cosas más, y cualquiera de ellas puede explicar el resultado.</w:t>
      </w:r>
    </w:p>
    <w:p>
      <w:pPr>
        <w:spacing w:after="140" w:line="288" w:lineRule="auto"/>
        <w:ind w:left="510" w:hanging="510"/>
      </w:pPr>
      <w:r>
        <w:rPr>
          <w:rFonts w:ascii="Calibri" w:hAnsi="Calibri"/>
          <w:b/>
          <w:i w:val="0"/>
          <w:color w:val="2A78D6"/>
          <w:sz w:val="21"/>
        </w:rPr>
        <w:t xml:space="preserve">1.  </w:t>
      </w:r>
      <w:r>
        <w:rPr>
          <w:rFonts w:ascii="Calibri" w:hAnsi="Calibri"/>
          <w:b/>
          <w:i w:val="0"/>
          <w:color w:val="4A5765"/>
          <w:sz w:val="21"/>
        </w:rPr>
        <w:t>Partir las rutas en dos grupos comparables.</w:t>
      </w:r>
      <w:r>
        <w:rPr>
          <w:rFonts w:ascii="Calibri" w:hAnsi="Calibri"/>
          <w:b w:val="0"/>
          <w:i w:val="0"/>
          <w:color w:val="4A5765"/>
          <w:sz w:val="21"/>
        </w:rPr>
        <w:t xml:space="preserve"> Asignar al azar, no por desempeño: si se eligen las mejores rutas para el grupo que recibe el modelo, el resultado está contaminado antes de empezar. Emparejar por CEDIS, tamaño y venta histórica.</w:t>
      </w:r>
    </w:p>
    <w:p>
      <w:pPr>
        <w:spacing w:after="140" w:line="288" w:lineRule="auto"/>
        <w:ind w:left="510" w:hanging="510"/>
      </w:pPr>
      <w:r>
        <w:rPr>
          <w:rFonts w:ascii="Calibri" w:hAnsi="Calibri"/>
          <w:b/>
          <w:i w:val="0"/>
          <w:color w:val="2A78D6"/>
          <w:sz w:val="21"/>
        </w:rPr>
        <w:t xml:space="preserve">2.  </w:t>
      </w:r>
      <w:r>
        <w:rPr>
          <w:rFonts w:ascii="Calibri" w:hAnsi="Calibri"/>
          <w:b/>
          <w:i w:val="0"/>
          <w:color w:val="4A5765"/>
          <w:sz w:val="21"/>
        </w:rPr>
        <w:t>Dejar el grupo de control con el sistema actual.</w:t>
      </w:r>
      <w:r>
        <w:rPr>
          <w:rFonts w:ascii="Calibri" w:hAnsi="Calibri"/>
          <w:b w:val="0"/>
          <w:i w:val="0"/>
          <w:color w:val="4A5765"/>
          <w:sz w:val="21"/>
        </w:rPr>
        <w:t xml:space="preserve"> Mismo número de sugerencias, misma operación. La única diferencia debe ser el algoritmo.</w:t>
      </w:r>
    </w:p>
    <w:p>
      <w:pPr>
        <w:spacing w:after="140" w:line="288" w:lineRule="auto"/>
        <w:ind w:left="510" w:hanging="510"/>
      </w:pPr>
      <w:r>
        <w:rPr>
          <w:rFonts w:ascii="Calibri" w:hAnsi="Calibri"/>
          <w:b/>
          <w:i w:val="0"/>
          <w:color w:val="2A78D6"/>
          <w:sz w:val="21"/>
        </w:rPr>
        <w:t xml:space="preserve">3.  </w:t>
      </w:r>
      <w:r>
        <w:rPr>
          <w:rFonts w:ascii="Calibri" w:hAnsi="Calibri"/>
          <w:b/>
          <w:i w:val="0"/>
          <w:color w:val="4A5765"/>
          <w:sz w:val="21"/>
        </w:rPr>
        <w:t>Registrar qué se sugiere y qué se compra de eso.</w:t>
      </w:r>
      <w:r>
        <w:rPr>
          <w:rFonts w:ascii="Calibri" w:hAnsi="Calibri"/>
          <w:b w:val="0"/>
          <w:i w:val="0"/>
          <w:color w:val="4A5765"/>
          <w:sz w:val="21"/>
        </w:rPr>
        <w:t xml:space="preserve"> Es el dato que hoy no existe y no se puede reconstruir hacia atrás. Sin él no hay experimento posible.</w:t>
      </w:r>
    </w:p>
    <w:p>
      <w:pPr>
        <w:spacing w:after="140" w:line="288" w:lineRule="auto"/>
        <w:ind w:left="510" w:hanging="510"/>
      </w:pPr>
      <w:r>
        <w:rPr>
          <w:rFonts w:ascii="Calibri" w:hAnsi="Calibri"/>
          <w:b/>
          <w:i w:val="0"/>
          <w:color w:val="2A78D6"/>
          <w:sz w:val="21"/>
        </w:rPr>
        <w:t xml:space="preserve">4.  </w:t>
      </w:r>
      <w:r>
        <w:rPr>
          <w:rFonts w:ascii="Calibri" w:hAnsi="Calibri"/>
          <w:b/>
          <w:i w:val="0"/>
          <w:color w:val="4A5765"/>
          <w:sz w:val="21"/>
        </w:rPr>
        <w:t>Correrlo al menos ocho semanas.</w:t>
      </w:r>
      <w:r>
        <w:rPr>
          <w:rFonts w:ascii="Calibri" w:hAnsi="Calibri"/>
          <w:b w:val="0"/>
          <w:i w:val="0"/>
          <w:color w:val="4A5765"/>
          <w:sz w:val="21"/>
        </w:rPr>
        <w:t xml:space="preserve"> El ciclo de compra es semanal y el de surtido mensual; menos tiempo no distingue el efecto del ruido.</w:t>
      </w:r>
    </w:p>
    <w:p>
      <w:pPr>
        <w:spacing w:after="140" w:line="288" w:lineRule="auto"/>
        <w:ind w:left="510" w:hanging="510"/>
      </w:pPr>
      <w:r>
        <w:rPr>
          <w:rFonts w:ascii="Calibri" w:hAnsi="Calibri"/>
          <w:b/>
          <w:i w:val="0"/>
          <w:color w:val="2A78D6"/>
          <w:sz w:val="21"/>
        </w:rPr>
        <w:t xml:space="preserve">5.  </w:t>
      </w:r>
      <w:r>
        <w:rPr>
          <w:rFonts w:ascii="Calibri" w:hAnsi="Calibri"/>
          <w:b/>
          <w:i w:val="0"/>
          <w:color w:val="4A5765"/>
          <w:sz w:val="21"/>
        </w:rPr>
        <w:t>Comparar grupo contra grupo</w:t>
      </w:r>
      <w:r>
        <w:rPr>
          <w:rFonts w:ascii="Calibri" w:hAnsi="Calibri"/>
          <w:b w:val="0"/>
          <w:i w:val="0"/>
          <w:color w:val="4A5765"/>
          <w:sz w:val="21"/>
        </w:rPr>
        <w:t xml:space="preserve">, no contra el histórico. La pregunta es si las rutas con modelo vendieron más que las rutas sin modelo </w:t>
      </w:r>
      <w:r>
        <w:rPr>
          <w:rFonts w:ascii="Calibri" w:hAnsi="Calibri"/>
          <w:b/>
          <w:i w:val="0"/>
          <w:color w:val="4A5765"/>
          <w:sz w:val="21"/>
        </w:rPr>
        <w:t>en el mismo periodo</w:t>
      </w:r>
      <w:r>
        <w:rPr>
          <w:rFonts w:ascii="Calibri" w:hAnsi="Calibri"/>
          <w:b w:val="0"/>
          <w:i w:val="0"/>
          <w:color w:val="4A5765"/>
          <w:sz w:val="21"/>
        </w:rPr>
        <w:t>.</w:t>
      </w:r>
    </w:p>
    <w:p>
      <w:pPr>
        <w:pStyle w:val="Heading2"/>
        <w:spacing w:before="340" w:after="100"/>
      </w:pPr>
      <w:r>
        <w:rPr>
          <w:rFonts w:ascii="Calibri" w:hAnsi="Calibri"/>
          <w:b/>
          <w:i w:val="0"/>
          <w:color w:val="10161D"/>
          <w:sz w:val="26"/>
        </w:rPr>
        <w:t>Qué mirar al final</w:t>
      </w:r>
    </w:p>
    <w:tbl>
      <w:tblPr>
        <w:tblW w:type="pct" w:w="5000"/>
        <w:jc w:val="left"/>
        <w:tblBorders>
          <w:top w:val="single" w:sz="6" w:space="0" w:color="10161D"/>
          <w:left w:val="none" w:sz="0" w:space="0" w:color="auto"/>
          <w:bottom w:val="single" w:sz="6" w:space="0" w:color="10161D"/>
          <w:right w:val="none" w:sz="0" w:space="0" w:color="auto"/>
          <w:insideH w:val="single" w:sz="4" w:space="0" w:color="E7ECF1"/>
          <w:insideV w:val="none" w:sz="0" w:space="0" w:color="auto"/>
        </w:tblBorders>
        <w:tblCellMar>
          <w:top w:w="70" w:type="dxa"/>
          <w:left w:w="100" w:type="dxa"/>
          <w:bottom w:w="70" w:type="dxa"/>
          <w:right w:w="100" w:type="dxa"/>
        </w:tblCellMar>
        <w:tblLook w:firstColumn="1" w:firstRow="1" w:lastColumn="0" w:lastRow="0" w:noHBand="0" w:noVBand="1" w:val="04A0"/>
      </w:tblPr>
      <w:tblGrid>
        <w:gridCol w:w="4759"/>
        <w:gridCol w:w="4759"/>
      </w:tblGrid>
      <w:tr>
        <w:trPr>
          <w:cantSplit/>
        </w:trPr>
        <w:tc>
          <w:tcPr>
            <w:tcW w:type="dxa" w:w="4759"/>
            <w:shd w:val="clear" w:fill="EEF1F5"/>
          </w:tcPr>
          <w:p>
            <w:pPr>
              <w:spacing w:after="40"/>
            </w:pPr>
            <w:r>
              <w:rPr>
                <w:rFonts w:ascii="Calibri" w:hAnsi="Calibri"/>
                <w:b/>
                <w:i w:val="0"/>
                <w:color w:val="10161D"/>
                <w:sz w:val="18"/>
              </w:rPr>
              <w:t>Indicador</w:t>
            </w:r>
          </w:p>
        </w:tc>
        <w:tc>
          <w:tcPr>
            <w:tcW w:type="dxa" w:w="4759"/>
            <w:shd w:val="clear" w:fill="EEF1F5"/>
          </w:tcPr>
          <w:p>
            <w:pPr>
              <w:spacing w:after="40"/>
              <w:jc w:val="right"/>
            </w:pPr>
            <w:r>
              <w:rPr>
                <w:rFonts w:ascii="Calibri" w:hAnsi="Calibri"/>
                <w:b/>
                <w:i w:val="0"/>
                <w:color w:val="10161D"/>
                <w:sz w:val="18"/>
              </w:rPr>
              <w:t>Qué responde</w:t>
            </w:r>
          </w:p>
        </w:tc>
      </w:tr>
      <w:tr>
        <w:trPr>
          <w:cantSplit/>
        </w:trPr>
        <w:tc>
          <w:tcPr>
            <w:tcW w:type="dxa" w:w="4759"/>
          </w:tcPr>
          <w:p>
            <w:pPr>
              <w:spacing w:after="40"/>
            </w:pPr>
            <w:r>
              <w:rPr>
                <w:rFonts w:ascii="Calibri" w:hAnsi="Calibri"/>
                <w:b w:val="0"/>
                <w:i w:val="0"/>
                <w:color w:val="4A5765"/>
                <w:sz w:val="19"/>
              </w:rPr>
              <w:t>SKU distintos por visita</w:t>
            </w:r>
          </w:p>
        </w:tc>
        <w:tc>
          <w:tcPr>
            <w:tcW w:type="dxa" w:w="4759"/>
          </w:tcPr>
          <w:p>
            <w:pPr>
              <w:spacing w:after="40"/>
            </w:pPr>
            <w:r>
              <w:rPr>
                <w:rFonts w:ascii="Calibri" w:hAnsi="Calibri"/>
                <w:b w:val="0"/>
                <w:i w:val="0"/>
                <w:color w:val="4A5765"/>
                <w:sz w:val="19"/>
              </w:rPr>
              <w:t>la pregunta principal: ¿el cliente se lleva más productos?</w:t>
            </w:r>
          </w:p>
        </w:tc>
      </w:tr>
      <w:tr>
        <w:trPr>
          <w:cantSplit/>
        </w:trPr>
        <w:tc>
          <w:tcPr>
            <w:tcW w:type="dxa" w:w="4759"/>
          </w:tcPr>
          <w:p>
            <w:pPr>
              <w:spacing w:after="40"/>
            </w:pPr>
            <w:r>
              <w:rPr>
                <w:rFonts w:ascii="Calibri" w:hAnsi="Calibri"/>
                <w:b w:val="0"/>
                <w:i w:val="0"/>
                <w:color w:val="4A5765"/>
                <w:sz w:val="19"/>
              </w:rPr>
              <w:t>Importe por visita</w:t>
            </w:r>
          </w:p>
        </w:tc>
        <w:tc>
          <w:tcPr>
            <w:tcW w:type="dxa" w:w="4759"/>
          </w:tcPr>
          <w:p>
            <w:pPr>
              <w:spacing w:after="40"/>
            </w:pPr>
            <w:r>
              <w:rPr>
                <w:rFonts w:ascii="Calibri" w:hAnsi="Calibri"/>
                <w:b w:val="0"/>
                <w:i w:val="0"/>
                <w:color w:val="4A5765"/>
                <w:sz w:val="19"/>
              </w:rPr>
              <w:t>si esos productos de más son de valor o de relleno</w:t>
            </w:r>
          </w:p>
        </w:tc>
      </w:tr>
      <w:tr>
        <w:trPr>
          <w:cantSplit/>
        </w:trPr>
        <w:tc>
          <w:tcPr>
            <w:tcW w:type="dxa" w:w="4759"/>
          </w:tcPr>
          <w:p>
            <w:pPr>
              <w:spacing w:after="40"/>
            </w:pPr>
            <w:r>
              <w:rPr>
                <w:rFonts w:ascii="Calibri" w:hAnsi="Calibri"/>
                <w:b w:val="0"/>
                <w:i w:val="0"/>
                <w:color w:val="4A5765"/>
                <w:sz w:val="19"/>
              </w:rPr>
              <w:t>Visitas que terminan en pedido</w:t>
            </w:r>
          </w:p>
        </w:tc>
        <w:tc>
          <w:tcPr>
            <w:tcW w:type="dxa" w:w="4759"/>
          </w:tcPr>
          <w:p>
            <w:pPr>
              <w:spacing w:after="40"/>
            </w:pPr>
            <w:r>
              <w:rPr>
                <w:rFonts w:ascii="Calibri" w:hAnsi="Calibri"/>
                <w:b w:val="0"/>
                <w:i w:val="0"/>
                <w:color w:val="4A5765"/>
                <w:sz w:val="19"/>
              </w:rPr>
              <w:t>si la lista ayuda a cerrar o solo cambia qué se pide</w:t>
            </w:r>
          </w:p>
        </w:tc>
      </w:tr>
      <w:tr>
        <w:trPr>
          <w:cantSplit/>
        </w:trPr>
        <w:tc>
          <w:tcPr>
            <w:tcW w:type="dxa" w:w="4759"/>
          </w:tcPr>
          <w:p>
            <w:pPr>
              <w:spacing w:after="40"/>
            </w:pPr>
            <w:r>
              <w:rPr>
                <w:rFonts w:ascii="Calibri" w:hAnsi="Calibri"/>
                <w:b w:val="0"/>
                <w:i w:val="0"/>
                <w:color w:val="4A5765"/>
                <w:sz w:val="19"/>
              </w:rPr>
              <w:t>Uso por parte del preventista</w:t>
            </w:r>
          </w:p>
        </w:tc>
        <w:tc>
          <w:tcPr>
            <w:tcW w:type="dxa" w:w="4759"/>
          </w:tcPr>
          <w:p>
            <w:pPr>
              <w:spacing w:after="40"/>
            </w:pPr>
            <w:r>
              <w:rPr>
                <w:rFonts w:ascii="Calibri" w:hAnsi="Calibri"/>
                <w:b w:val="0"/>
                <w:i w:val="0"/>
                <w:color w:val="4A5765"/>
                <w:sz w:val="19"/>
              </w:rPr>
              <w:t>si la herramienta se está usando; sin esto lo demás no se interpreta</w:t>
            </w:r>
          </w:p>
        </w:tc>
      </w:tr>
    </w:tbl>
    <w:p>
      <w:pPr>
        <w:spacing w:before="0" w:after="80" w:line="293" w:lineRule="auto"/>
      </w:pPr>
    </w:p>
    <w:p>
      <w:pPr>
        <w:spacing w:before="0" w:after="200" w:line="293" w:lineRule="auto"/>
      </w:pPr>
      <w:r>
        <w:rPr>
          <w:rFonts w:ascii="Calibri" w:hAnsi="Calibri"/>
          <w:b w:val="0"/>
          <w:i/>
          <w:color w:val="78848F"/>
          <w:sz w:val="19"/>
        </w:rPr>
        <w:t xml:space="preserve">El último importa más de lo que parece: si el preventista no abre la lista o no confía en ella, el experimento mide adopción y no calidad del modelo. </w:t>
      </w:r>
      <w:r>
        <w:rPr>
          <w:rFonts w:ascii="Calibri" w:hAnsi="Calibri"/>
          <w:b/>
          <w:i/>
          <w:color w:val="78848F"/>
          <w:sz w:val="19"/>
        </w:rPr>
        <w:t>Conviene preguntarle también qué le pareció</w:t>
      </w:r>
      <w:r>
        <w:rPr>
          <w:rFonts w:ascii="Calibri" w:hAnsi="Calibri"/>
          <w:b w:val="0"/>
          <w:i/>
          <w:color w:val="78848F"/>
          <w:sz w:val="19"/>
        </w:rPr>
        <w:t>, no solo contar pedidos.</w:t>
      </w:r>
    </w:p>
    <w:tbl>
      <w:tblPr>
        <w:tblW w:type="pct" w:w="5000"/>
        <w:tblBorders>
          <w:top w:val="single" w:sz="4" w:space="0" w:color="C5E3D7"/>
          <w:left w:val="single" w:sz="18" w:space="0" w:color="2A78D6"/>
          <w:bottom w:val="single" w:sz="4" w:space="0" w:color="C5E3D7"/>
          <w:right w:val="single" w:sz="4" w:space="0" w:color="C5E3D7"/>
          <w:insideH w:val="none" w:sz="0" w:space="0" w:color="auto"/>
          <w:insideV w:val="none" w:sz="0" w:space="0" w:color="auto"/>
        </w:tblBorders>
        <w:tblCellMar>
          <w:top w:w="140" w:type="dxa"/>
          <w:left w:w="180" w:type="dxa"/>
          <w:bottom w:w="140" w:type="dxa"/>
          <w:right w:w="180" w:type="dxa"/>
        </w:tblCellMar>
        <w:tblLook w:firstColumn="1" w:firstRow="1" w:lastColumn="0" w:lastRow="0" w:noHBand="0" w:noVBand="1" w:val="04A0"/>
      </w:tblPr>
      <w:tblGrid>
        <w:gridCol w:w="9518"/>
      </w:tblGrid>
      <w:tr>
        <w:trPr>
          <w:cantSplit/>
        </w:trPr>
        <w:tc>
          <w:tcPr>
            <w:tcW w:type="dxa" w:w="9518"/>
            <w:shd w:val="clear" w:fill="F0F7F4"/>
          </w:tcPr>
          <w:p>
            <w:pPr>
              <w:spacing w:after="100"/>
            </w:pPr>
            <w:r>
              <w:rPr>
                <w:rFonts w:ascii="Calibri" w:hAnsi="Calibri"/>
                <w:b/>
                <w:i w:val="0"/>
                <w:color w:val="10161D"/>
                <w:sz w:val="17"/>
              </w:rPr>
              <w:t>LO QUE SE PUEDE HACER HOY SIN COSTO</w:t>
            </w:r>
          </w:p>
          <w:p>
            <w:pPr>
              <w:spacing w:after="100" w:line="288" w:lineRule="auto"/>
            </w:pPr>
            <w:r>
              <w:rPr>
                <w:rFonts w:ascii="Calibri" w:hAnsi="Calibri"/>
                <w:b/>
                <w:i w:val="0"/>
                <w:color w:val="4A5765"/>
                <w:sz w:val="20"/>
              </w:rPr>
              <w:t>Empezar a registrar qué recomienda el sistema actual y qué se compra de eso.</w:t>
            </w:r>
            <w:r>
              <w:rPr>
                <w:rFonts w:ascii="Calibri" w:hAnsi="Calibri"/>
                <w:b w:val="0"/>
                <w:i w:val="0"/>
                <w:color w:val="4A5765"/>
                <w:sz w:val="20"/>
              </w:rPr>
              <w:t xml:space="preserve"> Ese dato no existe hoy y no puede reconstruirse hacia atrás. Es lo único que permitiría después aprender de los rechazos, medir el impacto real del sistema que ya opera, y evaluar sin depender de reconstrucciones.</w:t>
            </w:r>
          </w:p>
          <w:p>
            <w:pPr>
              <w:spacing w:after="0" w:line="288" w:lineRule="auto"/>
            </w:pPr>
            <w:r>
              <w:rPr>
                <w:rFonts w:ascii="Calibri" w:hAnsi="Calibri"/>
                <w:b/>
                <w:i w:val="0"/>
                <w:color w:val="4A5765"/>
                <w:sz w:val="20"/>
              </w:rPr>
              <w:t>Cada mes que pasa sin registrarlo es un mes de aprendizaje perdido.</w:t>
            </w:r>
          </w:p>
        </w:tc>
      </w:tr>
    </w:tbl>
    <w:p>
      <w:pPr>
        <w:spacing w:before="0" w:after="120" w:line="293" w:lineRule="auto"/>
      </w:pPr>
    </w:p>
    <w:p>
      <w:pPr>
        <w:pStyle w:val="Heading2"/>
        <w:spacing w:before="340" w:after="100"/>
      </w:pPr>
      <w:r>
        <w:rPr>
          <w:rFonts w:ascii="Calibri" w:hAnsi="Calibri"/>
          <w:b/>
          <w:i w:val="0"/>
          <w:color w:val="10161D"/>
          <w:sz w:val="26"/>
        </w:rPr>
        <w:t>Cómo llegaría esto a la operación</w:t>
      </w:r>
    </w:p>
    <w:p>
      <w:pPr>
        <w:spacing w:before="0" w:after="200" w:line="293" w:lineRule="auto"/>
      </w:pPr>
      <w:r>
        <w:rPr>
          <w:rFonts w:ascii="Calibri" w:hAnsi="Calibri"/>
          <w:b w:val="0"/>
          <w:i w:val="0"/>
          <w:color w:val="4A5765"/>
          <w:sz w:val="21"/>
        </w:rPr>
        <w:t xml:space="preserve">El experimento no necesita producto: basta con generar las listas y entregarlas. A partir de ahí hay </w:t>
      </w:r>
      <w:r>
        <w:rPr>
          <w:rFonts w:ascii="Calibri" w:hAnsi="Calibri"/>
          <w:b/>
          <w:i w:val="0"/>
          <w:color w:val="4A5765"/>
          <w:sz w:val="21"/>
        </w:rPr>
        <w:t>cuatro formas de operarlo</w:t>
      </w:r>
      <w:r>
        <w:rPr>
          <w:rFonts w:ascii="Calibri" w:hAnsi="Calibri"/>
          <w:b w:val="0"/>
          <w:i w:val="0"/>
          <w:color w:val="4A5765"/>
          <w:sz w:val="21"/>
        </w:rPr>
        <w:t>, con distinto grado de integración. No hay que elegir ahora —la decisión se toma cuando el piloto diga que vale la pena—, pero conviene saber hacia dónde se puede crecer.</w:t>
      </w:r>
    </w:p>
    <w:p>
      <w:pPr>
        <w:pStyle w:val="Heading3"/>
        <w:spacing w:before="260" w:after="80"/>
      </w:pPr>
      <w:r>
        <w:rPr>
          <w:rFonts w:ascii="Calibri" w:hAnsi="Calibri"/>
          <w:b/>
          <w:i w:val="0"/>
          <w:color w:val="2A78D6"/>
          <w:sz w:val="23"/>
        </w:rPr>
        <w:t>1 · Sala limpia de datos</w:t>
      </w:r>
    </w:p>
    <w:p>
      <w:pPr>
        <w:spacing w:before="0" w:after="160" w:line="293" w:lineRule="auto"/>
      </w:pPr>
      <w:r>
        <w:rPr>
          <w:rFonts w:ascii="Calibri" w:hAnsi="Calibri"/>
          <w:b w:val="0"/>
          <w:i w:val="0"/>
          <w:color w:val="4A5765"/>
          <w:sz w:val="20"/>
        </w:rPr>
        <w:t xml:space="preserve">La empresa deposita sus ventas en un entorno aislado al que solo ella y el proceso tienen acceso. Ahí dentro corre el modelo y las recomendaciones salen a la tablet del preventista. </w:t>
      </w:r>
      <w:r>
        <w:rPr>
          <w:rFonts w:ascii="Calibri" w:hAnsi="Calibri"/>
          <w:b/>
          <w:i w:val="0"/>
          <w:color w:val="4A5765"/>
          <w:sz w:val="20"/>
        </w:rPr>
        <w:t>La base de datos nunca se mueve de su sitio</w:t>
      </w:r>
      <w:r>
        <w:rPr>
          <w:rFonts w:ascii="Calibri" w:hAnsi="Calibri"/>
          <w:b w:val="0"/>
          <w:i w:val="0"/>
          <w:color w:val="4A5765"/>
          <w:sz w:val="20"/>
        </w:rPr>
        <w:t xml:space="preserve"> y no hay información circulando fuera.</w:t>
      </w:r>
    </w:p>
    <w:p>
      <w:pPr>
        <w:pStyle w:val="Heading3"/>
        <w:spacing w:before="260" w:after="80"/>
      </w:pPr>
      <w:r>
        <w:rPr>
          <w:rFonts w:ascii="Calibri" w:hAnsi="Calibri"/>
          <w:b/>
          <w:i w:val="0"/>
          <w:color w:val="2A78D6"/>
          <w:sz w:val="23"/>
        </w:rPr>
        <w:t>2 · Carga de archivos</w:t>
      </w:r>
    </w:p>
    <w:p>
      <w:pPr>
        <w:spacing w:before="0" w:after="160" w:line="293" w:lineRule="auto"/>
      </w:pPr>
      <w:r>
        <w:rPr>
          <w:rFonts w:ascii="Calibri" w:hAnsi="Calibri"/>
          <w:b w:val="0"/>
          <w:i w:val="0"/>
          <w:color w:val="4A5765"/>
          <w:sz w:val="20"/>
        </w:rPr>
        <w:t xml:space="preserve">Una herramienta web donde suben el archivo de ventas del periodo y descargan el archivo de recomendaciones, listo para entrar al sistema de preventa. </w:t>
      </w:r>
      <w:r>
        <w:rPr>
          <w:rFonts w:ascii="Calibri" w:hAnsi="Calibri"/>
          <w:b/>
          <w:i w:val="0"/>
          <w:color w:val="4A5765"/>
          <w:sz w:val="20"/>
        </w:rPr>
        <w:t>Es lo más rápido de montar</w:t>
      </w:r>
      <w:r>
        <w:rPr>
          <w:rFonts w:ascii="Calibri" w:hAnsi="Calibri"/>
          <w:b w:val="0"/>
          <w:i w:val="0"/>
          <w:color w:val="4A5765"/>
          <w:sz w:val="20"/>
        </w:rPr>
        <w:t xml:space="preserve"> y no toca nada de su infraestructura, a cambio de un paso manual cada vez.</w:t>
      </w:r>
    </w:p>
    <w:p>
      <w:pPr>
        <w:pStyle w:val="Heading3"/>
        <w:spacing w:before="260" w:after="80"/>
      </w:pPr>
      <w:r>
        <w:rPr>
          <w:rFonts w:ascii="Calibri" w:hAnsi="Calibri"/>
          <w:b/>
          <w:i w:val="0"/>
          <w:color w:val="2A78D6"/>
          <w:sz w:val="23"/>
        </w:rPr>
        <w:t>3 · API sobre la base de ventas</w:t>
      </w:r>
    </w:p>
    <w:p>
      <w:pPr>
        <w:spacing w:before="0" w:after="160" w:line="293" w:lineRule="auto"/>
      </w:pPr>
      <w:r>
        <w:rPr>
          <w:rFonts w:ascii="Calibri" w:hAnsi="Calibri"/>
          <w:b w:val="0"/>
          <w:i w:val="0"/>
          <w:color w:val="4A5765"/>
          <w:sz w:val="20"/>
        </w:rPr>
        <w:t xml:space="preserve">El modelo se conecta a la base de ventas y devuelve las recomendaciones por API, para que aparezcan </w:t>
      </w:r>
      <w:r>
        <w:rPr>
          <w:rFonts w:ascii="Calibri" w:hAnsi="Calibri"/>
          <w:b/>
          <w:i w:val="0"/>
          <w:color w:val="4A5765"/>
          <w:sz w:val="20"/>
        </w:rPr>
        <w:t>dentro del tablero o de la pantalla que el preventista ya usa</w:t>
      </w:r>
      <w:r>
        <w:rPr>
          <w:rFonts w:ascii="Calibri" w:hAnsi="Calibri"/>
          <w:b w:val="0"/>
          <w:i w:val="0"/>
          <w:color w:val="4A5765"/>
          <w:sz w:val="20"/>
        </w:rPr>
        <w:t>. Sin archivos de por medio y con la lista al día, pero requiere trabajo de su lado para consumirla.</w:t>
      </w:r>
    </w:p>
    <w:p>
      <w:pPr>
        <w:pStyle w:val="Heading3"/>
        <w:spacing w:before="260" w:after="80"/>
      </w:pPr>
      <w:r>
        <w:rPr>
          <w:rFonts w:ascii="Calibri" w:hAnsi="Calibri"/>
          <w:b/>
          <w:i w:val="0"/>
          <w:color w:val="2A78D6"/>
          <w:sz w:val="23"/>
        </w:rPr>
        <w:t>4 · Producto completo</w:t>
      </w:r>
    </w:p>
    <w:p>
      <w:pPr>
        <w:spacing w:before="0" w:after="160" w:line="293" w:lineRule="auto"/>
      </w:pPr>
      <w:r>
        <w:rPr>
          <w:rFonts w:ascii="Calibri" w:hAnsi="Calibri"/>
          <w:b w:val="0"/>
          <w:i w:val="0"/>
          <w:color w:val="4A5765"/>
          <w:sz w:val="20"/>
        </w:rPr>
        <w:t xml:space="preserve">Una aplicación propia: cada mañana el preventista abre su ruta y ve, cliente por cliente, el </w:t>
      </w:r>
      <w:r>
        <w:rPr>
          <w:rFonts w:ascii="Calibri" w:hAnsi="Calibri"/>
          <w:b/>
          <w:i w:val="0"/>
          <w:color w:val="4A5765"/>
          <w:sz w:val="20"/>
        </w:rPr>
        <w:t>pedido sugerido</w:t>
      </w:r>
      <w:r>
        <w:rPr>
          <w:rFonts w:ascii="Calibri" w:hAnsi="Calibri"/>
          <w:b w:val="0"/>
          <w:i w:val="0"/>
          <w:color w:val="4A5765"/>
          <w:sz w:val="20"/>
        </w:rPr>
        <w:t>, con el motivo de cada producto y la opción de aceptarlo o descartarlo. Es la única que cierra el ciclo: lo que acepta y lo que rechaza vuelve como dato para mejorar el modelo.</w:t>
      </w:r>
    </w:p>
    <w:p>
      <w:pPr>
        <w:pStyle w:val="Heading2"/>
        <w:spacing w:before="340" w:after="100"/>
      </w:pPr>
      <w:r>
        <w:rPr>
          <w:rFonts w:ascii="Calibri" w:hAnsi="Calibri"/>
          <w:b/>
          <w:i w:val="0"/>
          <w:color w:val="10161D"/>
          <w:sz w:val="26"/>
        </w:rPr>
        <w:t>Limitaciones de este análisis</w:t>
      </w:r>
    </w:p>
    <w:p>
      <w:pPr>
        <w:spacing w:after="140" w:line="288" w:lineRule="auto"/>
        <w:ind w:left="510" w:hanging="510"/>
      </w:pPr>
      <w:r>
        <w:rPr>
          <w:rFonts w:ascii="Calibri" w:hAnsi="Calibri"/>
          <w:b/>
          <w:i w:val="0"/>
          <w:color w:val="2A78D6"/>
          <w:sz w:val="21"/>
        </w:rPr>
        <w:t xml:space="preserve">1.  </w:t>
      </w:r>
      <w:r>
        <w:rPr>
          <w:rFonts w:ascii="Calibri" w:hAnsi="Calibri"/>
          <w:b/>
          <w:i w:val="0"/>
          <w:color w:val="4A5765"/>
          <w:sz w:val="21"/>
        </w:rPr>
        <w:t>La línea base es una reconstrucción.</w:t>
      </w:r>
      <w:r>
        <w:rPr>
          <w:rFonts w:ascii="Calibri" w:hAnsi="Calibri"/>
          <w:b w:val="0"/>
          <w:i w:val="0"/>
          <w:color w:val="4A5765"/>
          <w:sz w:val="21"/>
        </w:rPr>
        <w:t xml:space="preserve"> La empresa no conserva las recomendaciones que su sistema generó, así que se compara contra su lógica descrita, no contra sus resultados. Si la implementación difiere de lo que se entendió, la vara se mueve.</w:t>
      </w:r>
    </w:p>
    <w:p>
      <w:pPr>
        <w:spacing w:after="140" w:line="288" w:lineRule="auto"/>
        <w:ind w:left="510" w:hanging="510"/>
      </w:pPr>
      <w:r>
        <w:rPr>
          <w:rFonts w:ascii="Calibri" w:hAnsi="Calibri"/>
          <w:b/>
          <w:i w:val="0"/>
          <w:color w:val="2A78D6"/>
          <w:sz w:val="21"/>
        </w:rPr>
        <w:t xml:space="preserve">2.  </w:t>
      </w:r>
      <w:r>
        <w:rPr>
          <w:rFonts w:ascii="Calibri" w:hAnsi="Calibri"/>
          <w:b/>
          <w:i w:val="0"/>
          <w:color w:val="4A5765"/>
          <w:sz w:val="21"/>
        </w:rPr>
        <w:t>No hay señal de faltante de stock.</w:t>
      </w:r>
      <w:r>
        <w:rPr>
          <w:rFonts w:ascii="Calibri" w:hAnsi="Calibri"/>
          <w:b w:val="0"/>
          <w:i w:val="0"/>
          <w:color w:val="4A5765"/>
          <w:sz w:val="21"/>
        </w:rPr>
        <w:t xml:space="preserve"> Un «no compró» puede ser «no había».</w:t>
      </w:r>
    </w:p>
    <w:p>
      <w:pPr>
        <w:spacing w:after="140" w:line="288" w:lineRule="auto"/>
        <w:ind w:left="510" w:hanging="510"/>
      </w:pPr>
      <w:r>
        <w:rPr>
          <w:rFonts w:ascii="Calibri" w:hAnsi="Calibri"/>
          <w:b/>
          <w:i w:val="0"/>
          <w:color w:val="2A78D6"/>
          <w:sz w:val="21"/>
        </w:rPr>
        <w:t xml:space="preserve">3.  </w:t>
      </w:r>
      <w:r>
        <w:rPr>
          <w:rFonts w:ascii="Calibri" w:hAnsi="Calibri"/>
          <w:b/>
          <w:i w:val="0"/>
          <w:color w:val="4A5765"/>
          <w:sz w:val="21"/>
        </w:rPr>
        <w:t>No hay jerarquía de categorías.</w:t>
      </w:r>
      <w:r>
        <w:rPr>
          <w:rFonts w:ascii="Calibri" w:hAnsi="Calibri"/>
          <w:b w:val="0"/>
          <w:i w:val="0"/>
          <w:color w:val="4A5765"/>
          <w:sz w:val="21"/>
        </w:rPr>
        <w:t xml:space="preserve"> La marca es el nivel más fino disponible; con categorías se podría generalizar por familia de producto.</w:t>
      </w:r>
    </w:p>
    <w:p>
      <w:pPr>
        <w:spacing w:after="140" w:line="288" w:lineRule="auto"/>
        <w:ind w:left="510" w:hanging="510"/>
      </w:pPr>
      <w:r>
        <w:rPr>
          <w:rFonts w:ascii="Calibri" w:hAnsi="Calibri"/>
          <w:b/>
          <w:i w:val="0"/>
          <w:color w:val="2A78D6"/>
          <w:sz w:val="21"/>
        </w:rPr>
        <w:t xml:space="preserve">4.  </w:t>
      </w:r>
      <w:r>
        <w:rPr>
          <w:rFonts w:ascii="Calibri" w:hAnsi="Calibri"/>
          <w:b/>
          <w:i w:val="0"/>
          <w:color w:val="4A5765"/>
          <w:sz w:val="21"/>
        </w:rPr>
        <w:t>Un solo ciclo anual.</w:t>
      </w:r>
      <w:r>
        <w:rPr>
          <w:rFonts w:ascii="Calibri" w:hAnsi="Calibri"/>
          <w:b w:val="0"/>
          <w:i w:val="0"/>
          <w:color w:val="4A5765"/>
          <w:sz w:val="21"/>
        </w:rPr>
        <w:t xml:space="preserve"> Tendencia y estacionalidad están confundidas y no se pueden separar con doce meses.</w:t>
      </w:r>
    </w:p>
    <w:p>
      <w:pPr>
        <w:spacing w:after="140" w:line="288" w:lineRule="auto"/>
        <w:ind w:left="510" w:hanging="510"/>
      </w:pPr>
      <w:r>
        <w:rPr>
          <w:rFonts w:ascii="Calibri" w:hAnsi="Calibri"/>
          <w:b/>
          <w:i w:val="0"/>
          <w:color w:val="2A78D6"/>
          <w:sz w:val="21"/>
        </w:rPr>
        <w:t xml:space="preserve">5.  </w:t>
      </w:r>
      <w:r>
        <w:rPr>
          <w:rFonts w:ascii="Calibri" w:hAnsi="Calibri"/>
          <w:b/>
          <w:i w:val="0"/>
          <w:color w:val="4A5765"/>
          <w:sz w:val="21"/>
        </w:rPr>
        <w:t>El 11 % de los clientes no adoptó ningún producto nuevo</w:t>
      </w:r>
      <w:r>
        <w:rPr>
          <w:rFonts w:ascii="Calibri" w:hAnsi="Calibri"/>
          <w:b w:val="0"/>
          <w:i w:val="0"/>
          <w:color w:val="4A5765"/>
          <w:sz w:val="21"/>
        </w:rPr>
        <w:t xml:space="preserve"> en el mes de prueba. Están incluidos porque el preventista los visita igual, pero ningún recomendador puede acertarles.</w:t>
      </w:r>
    </w:p>
    <w:sectPr w:rsidR="00FC693F" w:rsidRPr="0006063C" w:rsidSect="00034616">
      <w:footerReference w:type="default" r:id="rId9"/>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78848F"/>
        <w:sz w:val="16"/>
      </w:rPr>
      <w:t xml:space="preserve">Farmalaxia · recomendador de SKUs · </w:t>
    </w:r>
    <w:fldSimple w:instr=" PAGE ">
      <w:r>
        <w:rPr>
          <w:rFonts w:ascii="Calibri" w:hAnsi="Calibri"/>
          <w:b w:val="0"/>
          <w:i w:val="0"/>
          <w:color w:val="78848F"/>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