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8FA" w:rsidRDefault="0076141D" w:rsidP="008B6C18">
      <w:pPr>
        <w:pStyle w:val="Title"/>
      </w:pPr>
      <w:r>
        <w:t>Daily Climate</w:t>
      </w:r>
      <w:r w:rsidR="003631E1">
        <w:t xml:space="preserve"> Data Report</w:t>
      </w:r>
    </w:p>
    <w:p w:rsidR="004368C0" w:rsidRDefault="004368C0" w:rsidP="00705C8C">
      <w:pPr>
        <w:pStyle w:val="Heading1"/>
        <w:numPr>
          <w:ilvl w:val="0"/>
          <w:numId w:val="10"/>
        </w:numPr>
      </w:pPr>
      <w:r>
        <w:t>Overview</w:t>
      </w:r>
    </w:p>
    <w:p w:rsidR="0076141D" w:rsidRDefault="0076141D" w:rsidP="0076141D">
      <w:pPr>
        <w:rPr>
          <w:rFonts w:cstheme="minorHAnsi"/>
          <w:lang w:val="en-AU"/>
        </w:rPr>
      </w:pPr>
      <w:r>
        <w:rPr>
          <w:rFonts w:cstheme="minorHAnsi"/>
          <w:lang w:val="en-AU"/>
        </w:rPr>
        <w:t xml:space="preserve">Daily data is derived from two sources of data. The first are Daily Climate Stations producing one or two observations per day of temperature, precipitation. The second are hourly stations (see hourly data sets) that typically produce more weather elements e.g. wind or snow on ground. Only a subset of the total stations is shown due to size limitations. The criteria for station selection are listed as below. </w:t>
      </w:r>
    </w:p>
    <w:p w:rsidR="0076141D" w:rsidRDefault="0076141D" w:rsidP="0076141D">
      <w:pPr>
        <w:rPr>
          <w:rFonts w:cstheme="minorHAnsi"/>
          <w:lang w:val="en-AU"/>
        </w:rPr>
      </w:pPr>
      <w:r>
        <w:rPr>
          <w:rFonts w:cstheme="minorHAnsi"/>
          <w:lang w:val="en-AU"/>
        </w:rPr>
        <w:t>The priorities for inclusion are as follows:</w:t>
      </w:r>
    </w:p>
    <w:p w:rsidR="0076141D" w:rsidRDefault="0076141D" w:rsidP="0076141D">
      <w:pPr>
        <w:pStyle w:val="ListParagraph"/>
        <w:numPr>
          <w:ilvl w:val="0"/>
          <w:numId w:val="11"/>
        </w:numPr>
        <w:spacing w:after="0" w:line="240" w:lineRule="auto"/>
        <w:rPr>
          <w:rFonts w:cstheme="minorHAnsi"/>
          <w:lang w:val="en-AU"/>
        </w:rPr>
      </w:pPr>
      <w:r>
        <w:rPr>
          <w:rFonts w:cstheme="minorHAnsi"/>
          <w:lang w:val="en-AU"/>
        </w:rPr>
        <w:t xml:space="preserve">Station is currently operational </w:t>
      </w:r>
    </w:p>
    <w:p w:rsidR="0076141D" w:rsidRDefault="0076141D" w:rsidP="0076141D">
      <w:pPr>
        <w:pStyle w:val="ListParagraph"/>
        <w:numPr>
          <w:ilvl w:val="0"/>
          <w:numId w:val="11"/>
        </w:numPr>
        <w:spacing w:after="0" w:line="240" w:lineRule="auto"/>
        <w:rPr>
          <w:rFonts w:cstheme="minorHAnsi"/>
          <w:lang w:val="en-AU"/>
        </w:rPr>
      </w:pPr>
      <w:r>
        <w:rPr>
          <w:rFonts w:cstheme="minorHAnsi"/>
          <w:lang w:val="en-AU"/>
        </w:rPr>
        <w:t>Stations with long periods of record</w:t>
      </w:r>
    </w:p>
    <w:p w:rsidR="0076141D" w:rsidRDefault="0076141D" w:rsidP="0076141D">
      <w:pPr>
        <w:pStyle w:val="ListParagraph"/>
        <w:numPr>
          <w:ilvl w:val="0"/>
          <w:numId w:val="11"/>
        </w:numPr>
        <w:spacing w:after="0" w:line="240" w:lineRule="auto"/>
        <w:rPr>
          <w:rFonts w:cstheme="minorHAnsi"/>
          <w:lang w:val="en-AU"/>
        </w:rPr>
      </w:pPr>
      <w:r>
        <w:rPr>
          <w:rFonts w:cstheme="minorHAnsi"/>
          <w:lang w:val="en-AU"/>
        </w:rPr>
        <w:t xml:space="preserve">Stations that are co-located with the categories above and supplement the period of record </w:t>
      </w:r>
    </w:p>
    <w:p w:rsidR="004368C0" w:rsidRPr="00081257" w:rsidRDefault="00A11BE1" w:rsidP="004368C0">
      <w:pPr>
        <w:pStyle w:val="NormalWeb"/>
        <w:rPr>
          <w:rFonts w:asciiTheme="minorHAnsi" w:hAnsiTheme="minorHAnsi" w:cstheme="minorHAnsi"/>
          <w:sz w:val="22"/>
          <w:szCs w:val="22"/>
          <w:lang w:val="en"/>
        </w:rPr>
      </w:pPr>
      <w:r w:rsidRPr="00081257">
        <w:rPr>
          <w:rFonts w:asciiTheme="minorHAnsi" w:hAnsiTheme="minorHAnsi" w:cstheme="minorHAnsi"/>
          <w:sz w:val="22"/>
          <w:szCs w:val="22"/>
          <w:lang w:val="en"/>
        </w:rPr>
        <w:t>Table 1: Main Characteristics</w:t>
      </w:r>
    </w:p>
    <w:tbl>
      <w:tblPr>
        <w:tblStyle w:val="TableGrid"/>
        <w:tblW w:w="9606" w:type="dxa"/>
        <w:tblLook w:val="04A0" w:firstRow="1" w:lastRow="0" w:firstColumn="1" w:lastColumn="0" w:noHBand="0" w:noVBand="1"/>
      </w:tblPr>
      <w:tblGrid>
        <w:gridCol w:w="4786"/>
        <w:gridCol w:w="4820"/>
      </w:tblGrid>
      <w:tr w:rsidR="008B6C18" w:rsidRPr="00081257" w:rsidTr="005F5A52">
        <w:tc>
          <w:tcPr>
            <w:tcW w:w="4786" w:type="dxa"/>
          </w:tcPr>
          <w:p w:rsidR="008B6C18" w:rsidRPr="00081257" w:rsidRDefault="008B6C18" w:rsidP="004368C0">
            <w:pPr>
              <w:rPr>
                <w:lang w:val="en"/>
              </w:rPr>
            </w:pPr>
            <w:r w:rsidRPr="00081257">
              <w:rPr>
                <w:lang w:val="en"/>
              </w:rPr>
              <w:t>Variables</w:t>
            </w:r>
          </w:p>
        </w:tc>
        <w:tc>
          <w:tcPr>
            <w:tcW w:w="4820" w:type="dxa"/>
          </w:tcPr>
          <w:p w:rsidR="00A24431" w:rsidRPr="00A24431" w:rsidRDefault="00A24431" w:rsidP="00A24431">
            <w:pPr>
              <w:rPr>
                <w:lang w:val="en"/>
              </w:rPr>
            </w:pPr>
            <w:r w:rsidRPr="00A24431">
              <w:rPr>
                <w:lang w:val="en"/>
              </w:rPr>
              <w:t>Mean Temperature (°C)</w:t>
            </w:r>
          </w:p>
          <w:p w:rsidR="005611F4" w:rsidRDefault="005611F4" w:rsidP="00A24431">
            <w:pPr>
              <w:rPr>
                <w:lang w:val="en"/>
              </w:rPr>
            </w:pPr>
            <w:r>
              <w:rPr>
                <w:lang w:val="en"/>
              </w:rPr>
              <w:t xml:space="preserve">Heating Degree Days </w:t>
            </w:r>
            <w:r w:rsidRPr="00A24431">
              <w:rPr>
                <w:lang w:val="en"/>
              </w:rPr>
              <w:t>(°C)</w:t>
            </w:r>
          </w:p>
          <w:p w:rsidR="005611F4" w:rsidRDefault="005611F4" w:rsidP="00A24431">
            <w:pPr>
              <w:rPr>
                <w:lang w:val="en"/>
              </w:rPr>
            </w:pPr>
            <w:r>
              <w:rPr>
                <w:lang w:val="en"/>
              </w:rPr>
              <w:t xml:space="preserve">Cooling Degree Days </w:t>
            </w:r>
            <w:r w:rsidRPr="00A24431">
              <w:rPr>
                <w:lang w:val="en"/>
              </w:rPr>
              <w:t>(°C)</w:t>
            </w:r>
          </w:p>
          <w:p w:rsidR="00A24431" w:rsidRPr="00A24431" w:rsidRDefault="00A24431" w:rsidP="00A24431">
            <w:pPr>
              <w:rPr>
                <w:lang w:val="en"/>
              </w:rPr>
            </w:pPr>
            <w:r w:rsidRPr="00A24431">
              <w:rPr>
                <w:lang w:val="en"/>
              </w:rPr>
              <w:t>Total Rainfall (mm)</w:t>
            </w:r>
          </w:p>
          <w:p w:rsidR="00A24431" w:rsidRPr="00A24431" w:rsidRDefault="00A24431" w:rsidP="00A24431">
            <w:pPr>
              <w:rPr>
                <w:lang w:val="en"/>
              </w:rPr>
            </w:pPr>
            <w:r w:rsidRPr="00A24431">
              <w:rPr>
                <w:lang w:val="en"/>
              </w:rPr>
              <w:t>Total Snowfall (cm)</w:t>
            </w:r>
          </w:p>
          <w:p w:rsidR="00A24431" w:rsidRPr="00A24431" w:rsidRDefault="00A24431" w:rsidP="00A24431">
            <w:pPr>
              <w:rPr>
                <w:lang w:val="en"/>
              </w:rPr>
            </w:pPr>
            <w:r w:rsidRPr="00A24431">
              <w:rPr>
                <w:lang w:val="en"/>
              </w:rPr>
              <w:t>Total Precipitation (mm)</w:t>
            </w:r>
          </w:p>
          <w:p w:rsidR="00A24431" w:rsidRPr="00A24431" w:rsidRDefault="00A24431" w:rsidP="00A24431">
            <w:pPr>
              <w:rPr>
                <w:lang w:val="en"/>
              </w:rPr>
            </w:pPr>
            <w:r w:rsidRPr="00A24431">
              <w:rPr>
                <w:lang w:val="en"/>
              </w:rPr>
              <w:t>Snow on the Ground (cm)</w:t>
            </w:r>
          </w:p>
          <w:p w:rsidR="005611F4" w:rsidRDefault="005611F4" w:rsidP="00A24431">
            <w:pPr>
              <w:rPr>
                <w:lang w:val="en"/>
              </w:rPr>
            </w:pPr>
            <w:r>
              <w:rPr>
                <w:lang w:val="en"/>
              </w:rPr>
              <w:t>Direction of Maximum Gust (10s deg)</w:t>
            </w:r>
          </w:p>
          <w:p w:rsidR="008B6C18" w:rsidRPr="00081257" w:rsidRDefault="005611F4" w:rsidP="00A24431">
            <w:pPr>
              <w:rPr>
                <w:lang w:val="en"/>
              </w:rPr>
            </w:pPr>
            <w:r>
              <w:rPr>
                <w:lang w:val="en"/>
              </w:rPr>
              <w:t>Speed of Maximum Gust (km/h)</w:t>
            </w:r>
          </w:p>
        </w:tc>
      </w:tr>
      <w:tr w:rsidR="00125CCB" w:rsidRPr="00081257" w:rsidTr="005F5A52">
        <w:tc>
          <w:tcPr>
            <w:tcW w:w="4786" w:type="dxa"/>
          </w:tcPr>
          <w:p w:rsidR="00125CCB" w:rsidRPr="00081257" w:rsidRDefault="00125CCB" w:rsidP="004368C0">
            <w:pPr>
              <w:rPr>
                <w:lang w:val="en"/>
              </w:rPr>
            </w:pPr>
            <w:r w:rsidRPr="00081257">
              <w:rPr>
                <w:lang w:val="en"/>
              </w:rPr>
              <w:t>Spatial resolution and geographical coverage</w:t>
            </w:r>
          </w:p>
        </w:tc>
        <w:tc>
          <w:tcPr>
            <w:tcW w:w="4820" w:type="dxa"/>
          </w:tcPr>
          <w:p w:rsidR="00125CCB" w:rsidRPr="00081257" w:rsidRDefault="00125CCB" w:rsidP="004368C0">
            <w:pPr>
              <w:rPr>
                <w:lang w:val="en"/>
              </w:rPr>
            </w:pPr>
            <w:r w:rsidRPr="00081257">
              <w:rPr>
                <w:lang w:val="en"/>
              </w:rPr>
              <w:t>Point locations across Canada</w:t>
            </w:r>
          </w:p>
        </w:tc>
      </w:tr>
      <w:tr w:rsidR="00125CCB" w:rsidRPr="00081257" w:rsidTr="005F5A52">
        <w:tc>
          <w:tcPr>
            <w:tcW w:w="4786" w:type="dxa"/>
          </w:tcPr>
          <w:p w:rsidR="00125CCB" w:rsidRPr="00081257" w:rsidRDefault="00125CCB" w:rsidP="004368C0">
            <w:pPr>
              <w:rPr>
                <w:lang w:val="en"/>
              </w:rPr>
            </w:pPr>
            <w:r w:rsidRPr="00081257">
              <w:rPr>
                <w:lang w:val="en"/>
              </w:rPr>
              <w:t>Time period</w:t>
            </w:r>
          </w:p>
        </w:tc>
        <w:tc>
          <w:tcPr>
            <w:tcW w:w="4820" w:type="dxa"/>
          </w:tcPr>
          <w:p w:rsidR="00125CCB" w:rsidRPr="00081257" w:rsidRDefault="00125CCB" w:rsidP="0076141D">
            <w:pPr>
              <w:rPr>
                <w:lang w:val="en"/>
              </w:rPr>
            </w:pPr>
            <w:r w:rsidRPr="00081257">
              <w:rPr>
                <w:lang w:val="en"/>
              </w:rPr>
              <w:t>1</w:t>
            </w:r>
            <w:r w:rsidR="0076141D">
              <w:rPr>
                <w:lang w:val="en"/>
              </w:rPr>
              <w:t>840 – present</w:t>
            </w:r>
          </w:p>
        </w:tc>
      </w:tr>
      <w:tr w:rsidR="00125CCB" w:rsidRPr="00081257" w:rsidTr="005F5A52">
        <w:tc>
          <w:tcPr>
            <w:tcW w:w="4786" w:type="dxa"/>
          </w:tcPr>
          <w:p w:rsidR="00125CCB" w:rsidRPr="00081257" w:rsidRDefault="00125CCB" w:rsidP="004368C0">
            <w:pPr>
              <w:rPr>
                <w:lang w:val="en"/>
              </w:rPr>
            </w:pPr>
            <w:r w:rsidRPr="00081257">
              <w:rPr>
                <w:lang w:val="en"/>
              </w:rPr>
              <w:t>Temporal  resolution</w:t>
            </w:r>
          </w:p>
        </w:tc>
        <w:tc>
          <w:tcPr>
            <w:tcW w:w="4820" w:type="dxa"/>
          </w:tcPr>
          <w:p w:rsidR="00125CCB" w:rsidRPr="00081257" w:rsidRDefault="0076141D" w:rsidP="004368C0">
            <w:pPr>
              <w:rPr>
                <w:lang w:val="en"/>
              </w:rPr>
            </w:pPr>
            <w:r>
              <w:rPr>
                <w:lang w:val="en"/>
              </w:rPr>
              <w:t>Daily</w:t>
            </w:r>
          </w:p>
        </w:tc>
      </w:tr>
    </w:tbl>
    <w:p w:rsidR="004368C0" w:rsidRPr="004368C0" w:rsidRDefault="004368C0" w:rsidP="004368C0">
      <w:pPr>
        <w:rPr>
          <w:lang w:val="en"/>
        </w:rPr>
      </w:pPr>
    </w:p>
    <w:p w:rsidR="004368C0" w:rsidRDefault="00795872" w:rsidP="00705C8C">
      <w:pPr>
        <w:pStyle w:val="Heading1"/>
        <w:numPr>
          <w:ilvl w:val="0"/>
          <w:numId w:val="10"/>
        </w:numPr>
      </w:pPr>
      <w:r>
        <w:t>Data Descriptions</w:t>
      </w:r>
    </w:p>
    <w:p w:rsidR="00A57B8C" w:rsidRPr="00AA6BA4" w:rsidRDefault="00A57B8C" w:rsidP="000C15A1">
      <w:pPr>
        <w:autoSpaceDE w:val="0"/>
        <w:autoSpaceDN w:val="0"/>
        <w:adjustRightInd w:val="0"/>
        <w:spacing w:after="0" w:line="240" w:lineRule="auto"/>
        <w:rPr>
          <w:rFonts w:cstheme="minorHAnsi"/>
          <w:lang w:val="en-AU"/>
        </w:rPr>
      </w:pPr>
    </w:p>
    <w:p w:rsidR="000C15A1" w:rsidRPr="00AA6BA4" w:rsidRDefault="000C15A1" w:rsidP="000C15A1">
      <w:pPr>
        <w:autoSpaceDE w:val="0"/>
        <w:autoSpaceDN w:val="0"/>
        <w:adjustRightInd w:val="0"/>
        <w:spacing w:after="0" w:line="240" w:lineRule="auto"/>
        <w:rPr>
          <w:rFonts w:cstheme="minorHAnsi"/>
          <w:lang w:val="en-AU"/>
        </w:rPr>
      </w:pPr>
      <w:r w:rsidRPr="00AA6BA4">
        <w:rPr>
          <w:rFonts w:cstheme="minorHAnsi"/>
          <w:lang w:val="en-AU"/>
        </w:rPr>
        <w:t xml:space="preserve">Effective May 14th 2018, DLY02 daily data will be derived from hourly observations for automatic climate weather stations and will no longer be restricted to synoptic observing stations. </w:t>
      </w:r>
    </w:p>
    <w:p w:rsidR="000C15A1" w:rsidRPr="00AA6BA4" w:rsidRDefault="000C15A1" w:rsidP="000C15A1">
      <w:pPr>
        <w:autoSpaceDE w:val="0"/>
        <w:autoSpaceDN w:val="0"/>
        <w:adjustRightInd w:val="0"/>
        <w:spacing w:after="0" w:line="240" w:lineRule="auto"/>
        <w:rPr>
          <w:rFonts w:cstheme="minorHAnsi"/>
          <w:lang w:val="en-AU"/>
        </w:rPr>
      </w:pPr>
    </w:p>
    <w:p w:rsidR="00B56518" w:rsidRPr="00B56518" w:rsidRDefault="00B56518" w:rsidP="00B56518">
      <w:pPr>
        <w:autoSpaceDE w:val="0"/>
        <w:autoSpaceDN w:val="0"/>
        <w:adjustRightInd w:val="0"/>
        <w:spacing w:after="0" w:line="240" w:lineRule="auto"/>
        <w:rPr>
          <w:rFonts w:cstheme="minorHAnsi"/>
          <w:lang w:val="en-AU"/>
        </w:rPr>
      </w:pPr>
      <w:r w:rsidRPr="00B56518">
        <w:rPr>
          <w:rFonts w:cstheme="minorHAnsi"/>
          <w:lang w:val="en-AU"/>
        </w:rPr>
        <w:t xml:space="preserve">The following guidelines can be used to determine the times of observations and the endpoint of the climatological day for temperature and precipitation elements: </w:t>
      </w:r>
    </w:p>
    <w:p w:rsidR="00B56518" w:rsidRPr="00B56518" w:rsidRDefault="00B56518" w:rsidP="00B56518">
      <w:pPr>
        <w:autoSpaceDE w:val="0"/>
        <w:autoSpaceDN w:val="0"/>
        <w:adjustRightInd w:val="0"/>
        <w:spacing w:after="0" w:line="240" w:lineRule="auto"/>
        <w:rPr>
          <w:rFonts w:cstheme="minorHAnsi"/>
          <w:lang w:val="en-AU"/>
        </w:rPr>
      </w:pPr>
      <w:r w:rsidRPr="00B56518">
        <w:rPr>
          <w:rFonts w:cstheme="minorHAnsi"/>
          <w:lang w:val="en-AU"/>
        </w:rPr>
        <w:t xml:space="preserve">For climate stations operating on a 24 hour basis, since July 1, 1961, the climatological day for temperature and precipitation ends at 0600Z of the following day. From June 1, 1957 to June 30, 1961, the climatological day for precipitation and maximum temperature ended at 1200Z of the following day. The climatological day for minimum temperatures ended at 0000Z of the following day. Before June 1, 1957, the climatological day for precipitation and maximum temperature ended at 1230Z of the following day. The climatological day for minimum temperatures ended at 0030Z of the following day. </w:t>
      </w:r>
    </w:p>
    <w:p w:rsidR="000C15A1" w:rsidRDefault="00B56518" w:rsidP="00B56518">
      <w:pPr>
        <w:autoSpaceDE w:val="0"/>
        <w:autoSpaceDN w:val="0"/>
        <w:adjustRightInd w:val="0"/>
        <w:spacing w:after="0" w:line="240" w:lineRule="auto"/>
        <w:rPr>
          <w:rFonts w:cstheme="minorHAnsi"/>
          <w:lang w:val="en-AU"/>
        </w:rPr>
      </w:pPr>
      <w:r w:rsidRPr="00B56518">
        <w:rPr>
          <w:rFonts w:cstheme="minorHAnsi"/>
          <w:lang w:val="en-AU"/>
        </w:rPr>
        <w:lastRenderedPageBreak/>
        <w:t xml:space="preserve">At locations with no hourly observations, observation times are generally morning and evening. In general, the climatological day for precipitation and maximum temperature ends at the morning observation of the following day. The climatological day for minimum temperatures ends at the afternoon observation of the current day. For sites reporting only once per day, the calendar day rather than climatological day applies. </w:t>
      </w:r>
      <w:r w:rsidRPr="00AA6BA4">
        <w:rPr>
          <w:rFonts w:cstheme="minorHAnsi"/>
          <w:lang w:val="en-AU"/>
        </w:rPr>
        <w:t xml:space="preserve">In cases where knowing time-of-observation is critical, the best approach is to check the historical inspection reports for the climate station. </w:t>
      </w:r>
    </w:p>
    <w:p w:rsidR="00A57B8C" w:rsidRDefault="00A57B8C" w:rsidP="000C15A1">
      <w:pPr>
        <w:autoSpaceDE w:val="0"/>
        <w:autoSpaceDN w:val="0"/>
        <w:adjustRightInd w:val="0"/>
        <w:spacing w:after="0" w:line="240" w:lineRule="auto"/>
        <w:rPr>
          <w:rFonts w:ascii="Arial" w:hAnsi="Arial" w:cs="Arial"/>
          <w:color w:val="000000"/>
          <w:sz w:val="23"/>
          <w:szCs w:val="23"/>
        </w:rPr>
      </w:pPr>
    </w:p>
    <w:p w:rsidR="00CE344B" w:rsidRDefault="00CE344B" w:rsidP="000C15A1">
      <w:pPr>
        <w:autoSpaceDE w:val="0"/>
        <w:autoSpaceDN w:val="0"/>
        <w:adjustRightInd w:val="0"/>
        <w:spacing w:after="0" w:line="240" w:lineRule="auto"/>
        <w:rPr>
          <w:rFonts w:ascii="Arial" w:hAnsi="Arial" w:cs="Arial"/>
          <w:color w:val="000000"/>
          <w:sz w:val="23"/>
          <w:szCs w:val="23"/>
        </w:rPr>
      </w:pPr>
    </w:p>
    <w:p w:rsidR="0064358C" w:rsidRDefault="00CD3070" w:rsidP="00795872">
      <w:pPr>
        <w:pStyle w:val="Heading1"/>
        <w:numPr>
          <w:ilvl w:val="0"/>
          <w:numId w:val="10"/>
        </w:numPr>
      </w:pPr>
      <w:r>
        <w:t xml:space="preserve">User </w:t>
      </w:r>
      <w:r w:rsidR="0064358C">
        <w:t>Limitation</w:t>
      </w:r>
      <w:r w:rsidR="00112EF5">
        <w:t xml:space="preserve"> </w:t>
      </w:r>
    </w:p>
    <w:p w:rsidR="00A57B8C" w:rsidRPr="003D29AD" w:rsidRDefault="00A57B8C" w:rsidP="00E84ECD">
      <w:pPr>
        <w:pStyle w:val="ListParagraph"/>
        <w:ind w:left="0"/>
        <w:rPr>
          <w:rFonts w:eastAsia="Times New Roman" w:cstheme="minorHAnsi"/>
          <w:lang w:val="en" w:eastAsia="en-CA"/>
        </w:rPr>
      </w:pPr>
      <w:r w:rsidRPr="009777B9">
        <w:rPr>
          <w:rFonts w:eastAsia="Times New Roman" w:cstheme="minorHAnsi"/>
          <w:lang w:val="en" w:eastAsia="en-CA"/>
        </w:rPr>
        <w:t>Limited use software and data product license agreement</w:t>
      </w:r>
      <w:r w:rsidRPr="003D29AD">
        <w:rPr>
          <w:rFonts w:eastAsia="Times New Roman" w:cstheme="minorHAnsi"/>
          <w:lang w:val="en" w:eastAsia="en-CA"/>
        </w:rPr>
        <w:t xml:space="preserve"> (</w:t>
      </w:r>
      <w:hyperlink r:id="rId6" w:history="1">
        <w:r w:rsidRPr="003D29AD">
          <w:rPr>
            <w:rFonts w:eastAsia="Times New Roman" w:cstheme="minorHAnsi"/>
            <w:lang w:val="en" w:eastAsia="en-CA"/>
          </w:rPr>
          <w:t>http://climate.weather.gc.ca/prods_servs/attachment1_e.html</w:t>
        </w:r>
      </w:hyperlink>
      <w:r w:rsidRPr="003D29AD">
        <w:rPr>
          <w:rFonts w:eastAsia="Times New Roman" w:cstheme="minorHAnsi"/>
          <w:lang w:val="en" w:eastAsia="en-CA"/>
        </w:rPr>
        <w:t xml:space="preserve">) </w:t>
      </w:r>
    </w:p>
    <w:p w:rsidR="004368C0" w:rsidRDefault="00737399" w:rsidP="0064358C">
      <w:pPr>
        <w:pStyle w:val="Heading1"/>
      </w:pPr>
      <w:r>
        <w:t>4</w:t>
      </w:r>
      <w:r w:rsidR="0064358C">
        <w:t xml:space="preserve">. </w:t>
      </w:r>
      <w:r w:rsidR="004368C0">
        <w:t>Methods</w:t>
      </w:r>
    </w:p>
    <w:p w:rsidR="007B3900" w:rsidRDefault="007B3900" w:rsidP="00E84ECD">
      <w:pPr>
        <w:pStyle w:val="ListParagraph"/>
        <w:ind w:left="0"/>
        <w:rPr>
          <w:rFonts w:eastAsia="Times New Roman" w:cstheme="minorHAnsi"/>
          <w:lang w:val="en" w:eastAsia="en-CA"/>
        </w:rPr>
      </w:pPr>
      <w:r>
        <w:rPr>
          <w:rFonts w:eastAsia="Times New Roman" w:cstheme="minorHAnsi"/>
          <w:lang w:val="en" w:eastAsia="en-CA"/>
        </w:rPr>
        <w:t>MANOBS Manual of Surface Weather Observations:</w:t>
      </w:r>
    </w:p>
    <w:p w:rsidR="0075757A" w:rsidRDefault="00CD3070" w:rsidP="00E84ECD">
      <w:pPr>
        <w:pStyle w:val="ListParagraph"/>
        <w:ind w:left="0"/>
      </w:pPr>
      <w:hyperlink r:id="rId7" w:history="1">
        <w:r w:rsidR="007B3900" w:rsidRPr="007B129C">
          <w:rPr>
            <w:rStyle w:val="Hyperlink"/>
          </w:rPr>
          <w:t>https://www.canada.ca/en/environment-climate-change/services/weather-manuals-documentation/manobs-surface-observations/table-contents.html</w:t>
        </w:r>
      </w:hyperlink>
      <w:r w:rsidR="007B3900">
        <w:t xml:space="preserve"> </w:t>
      </w:r>
    </w:p>
    <w:p w:rsidR="004368C0" w:rsidRDefault="00737399" w:rsidP="0064358C">
      <w:pPr>
        <w:pStyle w:val="Heading1"/>
      </w:pPr>
      <w:r>
        <w:t>5</w:t>
      </w:r>
      <w:r w:rsidR="0064358C">
        <w:t xml:space="preserve">. </w:t>
      </w:r>
      <w:r w:rsidR="004368C0">
        <w:t>Contact Information</w:t>
      </w:r>
    </w:p>
    <w:p w:rsidR="00CA77FF" w:rsidRDefault="00CA77FF" w:rsidP="00E84ECD">
      <w:pPr>
        <w:pStyle w:val="ListParagraph"/>
        <w:ind w:left="0"/>
      </w:pPr>
      <w:r>
        <w:t>Climate Services Support Desk</w:t>
      </w:r>
    </w:p>
    <w:p w:rsidR="00CA77FF" w:rsidRDefault="00CD3070" w:rsidP="00E84ECD">
      <w:pPr>
        <w:pStyle w:val="ListParagraph"/>
        <w:ind w:left="0"/>
      </w:pPr>
      <w:hyperlink r:id="rId8" w:history="1">
        <w:r w:rsidR="00CA77FF" w:rsidRPr="007B129C">
          <w:rPr>
            <w:rStyle w:val="Hyperlink"/>
          </w:rPr>
          <w:t>Info.cccs-ccsc@canada.ca</w:t>
        </w:r>
      </w:hyperlink>
    </w:p>
    <w:p w:rsidR="00CA77FF" w:rsidRDefault="00CA77FF" w:rsidP="00E84ECD">
      <w:pPr>
        <w:pStyle w:val="ListParagraph"/>
        <w:ind w:left="0"/>
      </w:pPr>
      <w:r>
        <w:t>833-517-0376</w:t>
      </w:r>
    </w:p>
    <w:p w:rsidR="00905EB6" w:rsidRDefault="00905EB6" w:rsidP="00CA77FF">
      <w:pPr>
        <w:pStyle w:val="ListParagraph"/>
        <w:ind w:left="360"/>
      </w:pPr>
    </w:p>
    <w:p w:rsidR="00905EB6" w:rsidRDefault="00737399" w:rsidP="00905EB6">
      <w:pPr>
        <w:pStyle w:val="Heading1"/>
      </w:pPr>
      <w:r>
        <w:t>6</w:t>
      </w:r>
      <w:r w:rsidR="00905EB6">
        <w:t>. Reference</w:t>
      </w:r>
    </w:p>
    <w:p w:rsidR="00905EB6" w:rsidRDefault="0076141D" w:rsidP="00E84ECD">
      <w:pPr>
        <w:pStyle w:val="ListParagraph"/>
        <w:ind w:left="0"/>
      </w:pPr>
      <w:r>
        <w:t xml:space="preserve">Technical Documentation </w:t>
      </w:r>
      <w:r w:rsidR="00176A95">
        <w:t>-</w:t>
      </w:r>
      <w:r>
        <w:t xml:space="preserve"> Digital Archive of Canadian Climatological Data</w:t>
      </w:r>
      <w:r w:rsidR="00905EB6">
        <w:t xml:space="preserve">: </w:t>
      </w:r>
      <w:hyperlink r:id="rId9" w:history="1">
        <w:r w:rsidR="00CD3070" w:rsidRPr="00205B45">
          <w:rPr>
            <w:rStyle w:val="Hyperlink"/>
          </w:rPr>
          <w:t>ftp://client_climate@ftp.tor.ec.gc.ca/Pub/Documentation_Technical/</w:t>
        </w:r>
      </w:hyperlink>
      <w:r w:rsidR="00CD3070">
        <w:t xml:space="preserve"> </w:t>
      </w:r>
      <w:bookmarkStart w:id="0" w:name="_GoBack"/>
      <w:bookmarkEnd w:id="0"/>
    </w:p>
    <w:p w:rsidR="00905EB6" w:rsidRDefault="00905EB6" w:rsidP="00CA77FF">
      <w:pPr>
        <w:pStyle w:val="ListParagraph"/>
        <w:ind w:left="360"/>
      </w:pPr>
    </w:p>
    <w:sectPr w:rsidR="00905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48E"/>
    <w:multiLevelType w:val="multilevel"/>
    <w:tmpl w:val="5E0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65F7B"/>
    <w:multiLevelType w:val="hybridMultilevel"/>
    <w:tmpl w:val="F78664E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BDD52BD"/>
    <w:multiLevelType w:val="hybridMultilevel"/>
    <w:tmpl w:val="278A5A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0DD432C5"/>
    <w:multiLevelType w:val="multilevel"/>
    <w:tmpl w:val="088643C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33F2F"/>
    <w:multiLevelType w:val="hybridMultilevel"/>
    <w:tmpl w:val="66CE5F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8D54C97"/>
    <w:multiLevelType w:val="hybridMultilevel"/>
    <w:tmpl w:val="4FAE1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9690087"/>
    <w:multiLevelType w:val="hybridMultilevel"/>
    <w:tmpl w:val="46CEB6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nsid w:val="2D6F4222"/>
    <w:multiLevelType w:val="multilevel"/>
    <w:tmpl w:val="B7D4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9C095F"/>
    <w:multiLevelType w:val="multilevel"/>
    <w:tmpl w:val="4E08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04EC4"/>
    <w:multiLevelType w:val="multilevel"/>
    <w:tmpl w:val="D69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7F373D"/>
    <w:multiLevelType w:val="multilevel"/>
    <w:tmpl w:val="9C3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6164BC"/>
    <w:multiLevelType w:val="hybridMultilevel"/>
    <w:tmpl w:val="BF1AC2A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0"/>
  </w:num>
  <w:num w:numId="5">
    <w:abstractNumId w:val="10"/>
  </w:num>
  <w:num w:numId="6">
    <w:abstractNumId w:val="9"/>
  </w:num>
  <w:num w:numId="7">
    <w:abstractNumId w:val="8"/>
  </w:num>
  <w:num w:numId="8">
    <w:abstractNumId w:val="3"/>
  </w:num>
  <w:num w:numId="9">
    <w:abstractNumId w:val="7"/>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8C0"/>
    <w:rsid w:val="00081257"/>
    <w:rsid w:val="000C15A1"/>
    <w:rsid w:val="00112EF5"/>
    <w:rsid w:val="00125CCB"/>
    <w:rsid w:val="00136536"/>
    <w:rsid w:val="00176A95"/>
    <w:rsid w:val="00251E09"/>
    <w:rsid w:val="003631E1"/>
    <w:rsid w:val="003A6050"/>
    <w:rsid w:val="003D29AD"/>
    <w:rsid w:val="004368C0"/>
    <w:rsid w:val="00457614"/>
    <w:rsid w:val="005611F4"/>
    <w:rsid w:val="005F5A52"/>
    <w:rsid w:val="00616923"/>
    <w:rsid w:val="0064358C"/>
    <w:rsid w:val="0066347F"/>
    <w:rsid w:val="00705C8C"/>
    <w:rsid w:val="00737399"/>
    <w:rsid w:val="0075757A"/>
    <w:rsid w:val="0076141D"/>
    <w:rsid w:val="00781F0D"/>
    <w:rsid w:val="00795872"/>
    <w:rsid w:val="007B3900"/>
    <w:rsid w:val="0086030F"/>
    <w:rsid w:val="008B6C18"/>
    <w:rsid w:val="00905EB6"/>
    <w:rsid w:val="00913473"/>
    <w:rsid w:val="00957F3A"/>
    <w:rsid w:val="009777B9"/>
    <w:rsid w:val="00A11BE1"/>
    <w:rsid w:val="00A24431"/>
    <w:rsid w:val="00A57B8C"/>
    <w:rsid w:val="00AA6BA4"/>
    <w:rsid w:val="00B56518"/>
    <w:rsid w:val="00BB78FA"/>
    <w:rsid w:val="00CA77FF"/>
    <w:rsid w:val="00CD3070"/>
    <w:rsid w:val="00CE344B"/>
    <w:rsid w:val="00D665A7"/>
    <w:rsid w:val="00E84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6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6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9134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C0"/>
    <w:pPr>
      <w:ind w:left="720"/>
      <w:contextualSpacing/>
    </w:pPr>
  </w:style>
  <w:style w:type="paragraph" w:styleId="NormalWeb">
    <w:name w:val="Normal (Web)"/>
    <w:basedOn w:val="Normal"/>
    <w:unhideWhenUsed/>
    <w:rsid w:val="004368C0"/>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43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7FF"/>
    <w:rPr>
      <w:color w:val="0000FF" w:themeColor="hyperlink"/>
      <w:u w:val="single"/>
    </w:rPr>
  </w:style>
  <w:style w:type="paragraph" w:customStyle="1" w:styleId="Default">
    <w:name w:val="Default"/>
    <w:rsid w:val="00125CC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B6C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6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C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6C1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13473"/>
    <w:rPr>
      <w:rFonts w:asciiTheme="majorHAnsi" w:eastAsiaTheme="majorEastAsia" w:hAnsiTheme="majorHAnsi" w:cstheme="majorBidi"/>
      <w:color w:val="243F60" w:themeColor="accent1" w:themeShade="7F"/>
    </w:rPr>
  </w:style>
  <w:style w:type="character" w:styleId="Strong">
    <w:name w:val="Strong"/>
    <w:qFormat/>
    <w:rsid w:val="00913473"/>
    <w:rPr>
      <w:b/>
      <w:bCs/>
    </w:rPr>
  </w:style>
  <w:style w:type="paragraph" w:styleId="HTMLPreformatted">
    <w:name w:val="HTML Preformatted"/>
    <w:basedOn w:val="Normal"/>
    <w:link w:val="HTMLPreformattedChar"/>
    <w:rsid w:val="0091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913473"/>
    <w:rPr>
      <w:rFonts w:ascii="Courier New" w:eastAsia="Times New Roman" w:hAnsi="Courier New" w:cs="Courier New"/>
      <w:sz w:val="20"/>
      <w:szCs w:val="20"/>
      <w:lang w:val="en-US"/>
    </w:rPr>
  </w:style>
  <w:style w:type="paragraph" w:styleId="NoSpacing">
    <w:name w:val="No Spacing"/>
    <w:uiPriority w:val="1"/>
    <w:qFormat/>
    <w:rsid w:val="00CE34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6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6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9134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C0"/>
    <w:pPr>
      <w:ind w:left="720"/>
      <w:contextualSpacing/>
    </w:pPr>
  </w:style>
  <w:style w:type="paragraph" w:styleId="NormalWeb">
    <w:name w:val="Normal (Web)"/>
    <w:basedOn w:val="Normal"/>
    <w:unhideWhenUsed/>
    <w:rsid w:val="004368C0"/>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43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7FF"/>
    <w:rPr>
      <w:color w:val="0000FF" w:themeColor="hyperlink"/>
      <w:u w:val="single"/>
    </w:rPr>
  </w:style>
  <w:style w:type="paragraph" w:customStyle="1" w:styleId="Default">
    <w:name w:val="Default"/>
    <w:rsid w:val="00125CC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B6C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6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C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6C1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13473"/>
    <w:rPr>
      <w:rFonts w:asciiTheme="majorHAnsi" w:eastAsiaTheme="majorEastAsia" w:hAnsiTheme="majorHAnsi" w:cstheme="majorBidi"/>
      <w:color w:val="243F60" w:themeColor="accent1" w:themeShade="7F"/>
    </w:rPr>
  </w:style>
  <w:style w:type="character" w:styleId="Strong">
    <w:name w:val="Strong"/>
    <w:qFormat/>
    <w:rsid w:val="00913473"/>
    <w:rPr>
      <w:b/>
      <w:bCs/>
    </w:rPr>
  </w:style>
  <w:style w:type="paragraph" w:styleId="HTMLPreformatted">
    <w:name w:val="HTML Preformatted"/>
    <w:basedOn w:val="Normal"/>
    <w:link w:val="HTMLPreformattedChar"/>
    <w:rsid w:val="0091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913473"/>
    <w:rPr>
      <w:rFonts w:ascii="Courier New" w:eastAsia="Times New Roman" w:hAnsi="Courier New" w:cs="Courier New"/>
      <w:sz w:val="20"/>
      <w:szCs w:val="20"/>
      <w:lang w:val="en-US"/>
    </w:rPr>
  </w:style>
  <w:style w:type="paragraph" w:styleId="NoSpacing">
    <w:name w:val="No Spacing"/>
    <w:uiPriority w:val="1"/>
    <w:qFormat/>
    <w:rsid w:val="00CE34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70740">
      <w:bodyDiv w:val="1"/>
      <w:marLeft w:val="0"/>
      <w:marRight w:val="0"/>
      <w:marTop w:val="0"/>
      <w:marBottom w:val="0"/>
      <w:divBdr>
        <w:top w:val="none" w:sz="0" w:space="0" w:color="auto"/>
        <w:left w:val="none" w:sz="0" w:space="0" w:color="auto"/>
        <w:bottom w:val="none" w:sz="0" w:space="0" w:color="auto"/>
        <w:right w:val="none" w:sz="0" w:space="0" w:color="auto"/>
      </w:divBdr>
    </w:div>
    <w:div w:id="13968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cs-ccsc@canada.ca" TargetMode="External"/><Relationship Id="rId3" Type="http://schemas.microsoft.com/office/2007/relationships/stylesWithEffects" Target="stylesWithEffects.xml"/><Relationship Id="rId7" Type="http://schemas.openxmlformats.org/officeDocument/2006/relationships/hyperlink" Target="https://www.canada.ca/en/environment-climate-change/services/weather-manuals-documentation/manobs-surface-observations/table-cont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imate.weather.gc.ca/prods_servs/attachment1_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tp://client_climate@ftp.tor.ec.gc.ca/Pub/Documentation_Techn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Fung,Lily [Ontario]</dc:creator>
  <cp:lastModifiedBy>Fung,Lily [Ontario]</cp:lastModifiedBy>
  <cp:revision>28</cp:revision>
  <cp:lastPrinted>2018-10-01T19:26:00Z</cp:lastPrinted>
  <dcterms:created xsi:type="dcterms:W3CDTF">2018-09-27T15:16:00Z</dcterms:created>
  <dcterms:modified xsi:type="dcterms:W3CDTF">2018-10-15T19:21:00Z</dcterms:modified>
</cp:coreProperties>
</file>