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9F3" w:rsidRPr="002D514C" w:rsidRDefault="001A2D52" w:rsidP="001A2D52">
      <w:pPr>
        <w:jc w:val="center"/>
        <w:rPr>
          <w:b/>
          <w:bCs/>
          <w:color w:val="385623" w:themeColor="accent6" w:themeShade="80"/>
          <w:sz w:val="24"/>
          <w:szCs w:val="24"/>
        </w:rPr>
      </w:pPr>
      <w:r w:rsidRPr="002D514C">
        <w:rPr>
          <w:b/>
          <w:bCs/>
          <w:color w:val="385623" w:themeColor="accent6" w:themeShade="80"/>
          <w:sz w:val="24"/>
          <w:szCs w:val="24"/>
        </w:rPr>
        <w:t>PREDICCIÓN</w:t>
      </w:r>
    </w:p>
    <w:p w:rsidR="001A2D52" w:rsidRPr="002D514C" w:rsidRDefault="001A2D52" w:rsidP="001A2D52">
      <w:pPr>
        <w:jc w:val="center"/>
        <w:rPr>
          <w:sz w:val="24"/>
          <w:szCs w:val="24"/>
        </w:rPr>
      </w:pPr>
      <w:r w:rsidRPr="002D514C">
        <w:rPr>
          <w:sz w:val="24"/>
          <w:szCs w:val="24"/>
        </w:rPr>
        <w:t>Modelo VAR</w:t>
      </w:r>
    </w:p>
    <w:p w:rsidR="001A2D52" w:rsidRPr="002D514C" w:rsidRDefault="001A2D52" w:rsidP="001A2D52">
      <w:pPr>
        <w:jc w:val="center"/>
        <w:rPr>
          <w:sz w:val="24"/>
          <w:szCs w:val="24"/>
        </w:rPr>
      </w:pPr>
      <w:r w:rsidRPr="002D514C">
        <w:rPr>
          <w:sz w:val="24"/>
          <w:szCs w:val="24"/>
        </w:rPr>
        <w:t>Carlota Echevarría</w:t>
      </w:r>
    </w:p>
    <w:p w:rsidR="001A2D52" w:rsidRDefault="001A2D52" w:rsidP="001A2D52"/>
    <w:p w:rsidR="00FD1AAD" w:rsidRPr="002D514C" w:rsidRDefault="00FD1AAD" w:rsidP="001A2D52">
      <w:pPr>
        <w:rPr>
          <w:b/>
          <w:bCs/>
          <w:sz w:val="24"/>
          <w:szCs w:val="24"/>
          <w:u w:val="single"/>
        </w:rPr>
      </w:pPr>
      <w:r w:rsidRPr="002D514C">
        <w:rPr>
          <w:b/>
          <w:bCs/>
          <w:sz w:val="24"/>
          <w:szCs w:val="24"/>
          <w:u w:val="single"/>
        </w:rPr>
        <w:t>Objetivo</w:t>
      </w:r>
    </w:p>
    <w:p w:rsidR="001A2D52" w:rsidRDefault="001A2D52" w:rsidP="000D7AF4">
      <w:pPr>
        <w:spacing w:line="360" w:lineRule="auto"/>
        <w:jc w:val="both"/>
      </w:pPr>
      <w:r>
        <w:t>El objetivo de este proyecto es realizar la predicción de</w:t>
      </w:r>
      <w:r w:rsidR="00FD1AAD">
        <w:t xml:space="preserve"> </w:t>
      </w:r>
      <w:r>
        <w:t>l</w:t>
      </w:r>
      <w:r w:rsidR="00FD1AAD">
        <w:t>a tasa de</w:t>
      </w:r>
      <w:r>
        <w:t xml:space="preserve"> crecimiento del producto interior bruto y el índice de precios del consumidor mediante un modelo VAR.</w:t>
      </w:r>
    </w:p>
    <w:p w:rsidR="001A2D52" w:rsidRDefault="001A2D52" w:rsidP="000D7AF4">
      <w:pPr>
        <w:spacing w:line="360" w:lineRule="auto"/>
        <w:jc w:val="both"/>
      </w:pPr>
      <w:r>
        <w:t>El país escogido ha sido Holanda, cuyos datos son trimestrales</w:t>
      </w:r>
      <w:r w:rsidR="00FD1AAD">
        <w:t xml:space="preserve"> y pertenecientes al periodo comprendido entre el segundo trimestre del 1988 y el segundo trimestre de 2019</w:t>
      </w:r>
      <w:r>
        <w:t>, los datos referentes al producto interior bruto están ajustados estacionalmente, mientras que el índice de precios no.</w:t>
      </w:r>
    </w:p>
    <w:p w:rsidR="0012654B" w:rsidRDefault="0012654B" w:rsidP="001A2D52"/>
    <w:p w:rsidR="00FD1AAD" w:rsidRPr="002D514C" w:rsidRDefault="0012654B" w:rsidP="001A2D52">
      <w:pPr>
        <w:rPr>
          <w:b/>
          <w:bCs/>
          <w:sz w:val="24"/>
          <w:szCs w:val="24"/>
          <w:u w:val="single"/>
        </w:rPr>
      </w:pPr>
      <w:r w:rsidRPr="002D514C">
        <w:rPr>
          <w:b/>
          <w:bCs/>
          <w:sz w:val="24"/>
          <w:szCs w:val="24"/>
          <w:u w:val="single"/>
        </w:rPr>
        <w:t>Marco teórico: m</w:t>
      </w:r>
      <w:r w:rsidR="0008048B" w:rsidRPr="002D514C">
        <w:rPr>
          <w:b/>
          <w:bCs/>
          <w:sz w:val="24"/>
          <w:szCs w:val="24"/>
          <w:u w:val="single"/>
        </w:rPr>
        <w:t>odelo VAR</w:t>
      </w:r>
    </w:p>
    <w:p w:rsidR="0008048B" w:rsidRDefault="0008048B" w:rsidP="000D7AF4">
      <w:pPr>
        <w:spacing w:line="360" w:lineRule="auto"/>
        <w:jc w:val="both"/>
      </w:pPr>
      <w:r>
        <w:t>En un modelo VAR, todas las variables son tratadas simétricamente, es decir todas las variables se afectan entre sí, este tipo de relación se modeliza con los vectores autorregresivos (VAR).</w:t>
      </w:r>
    </w:p>
    <w:p w:rsidR="0008048B" w:rsidRDefault="00075B1C" w:rsidP="000D7AF4">
      <w:pPr>
        <w:spacing w:line="360" w:lineRule="auto"/>
        <w:jc w:val="both"/>
      </w:pPr>
      <w:r>
        <w:t>Las predicciones se generan a partir de un VAR de manera recursiva.</w:t>
      </w:r>
    </w:p>
    <w:p w:rsidR="00075B1C" w:rsidRDefault="00075B1C" w:rsidP="000D7AF4">
      <w:pPr>
        <w:spacing w:line="360" w:lineRule="auto"/>
        <w:jc w:val="both"/>
      </w:pPr>
      <w:r>
        <w:t>Hay dos decisiones que tomar al usar un VAR para predecir:</w:t>
      </w:r>
    </w:p>
    <w:p w:rsidR="00075B1C" w:rsidRDefault="00075B1C" w:rsidP="000D7AF4">
      <w:pPr>
        <w:pStyle w:val="Prrafodelista"/>
        <w:numPr>
          <w:ilvl w:val="0"/>
          <w:numId w:val="1"/>
        </w:numPr>
        <w:spacing w:line="360" w:lineRule="auto"/>
        <w:jc w:val="both"/>
      </w:pPr>
      <w:r>
        <w:t>Cuantas variables (denotadas por k) deben ser incluidos en el sistema.</w:t>
      </w:r>
    </w:p>
    <w:p w:rsidR="00075B1C" w:rsidRDefault="00075B1C" w:rsidP="000D7AF4">
      <w:pPr>
        <w:pStyle w:val="Prrafodelista"/>
        <w:numPr>
          <w:ilvl w:val="0"/>
          <w:numId w:val="1"/>
        </w:numPr>
        <w:spacing w:line="360" w:lineRule="auto"/>
        <w:jc w:val="both"/>
      </w:pPr>
      <w:r>
        <w:t>Cuantos retardos (denotados por p) deben ser incluidos en el sistema.</w:t>
      </w:r>
    </w:p>
    <w:p w:rsidR="00B6195D" w:rsidRDefault="00B6195D" w:rsidP="000D7AF4">
      <w:pPr>
        <w:spacing w:line="360" w:lineRule="auto"/>
        <w:jc w:val="both"/>
      </w:pPr>
      <w:r>
        <w:t>Los criterios de información (fundamentalmente BIC) se usan comúnmente para seleccionar el número de retardos.</w:t>
      </w:r>
    </w:p>
    <w:p w:rsidR="00B6195D" w:rsidRPr="0008048B" w:rsidRDefault="00B6195D" w:rsidP="00B6195D"/>
    <w:p w:rsidR="00FD1AAD" w:rsidRPr="002D514C" w:rsidRDefault="003F491D" w:rsidP="001A2D52">
      <w:pPr>
        <w:rPr>
          <w:b/>
          <w:bCs/>
          <w:sz w:val="24"/>
          <w:szCs w:val="24"/>
          <w:u w:val="single"/>
        </w:rPr>
      </w:pPr>
      <w:r>
        <w:rPr>
          <w:b/>
          <w:bCs/>
          <w:sz w:val="24"/>
          <w:szCs w:val="24"/>
          <w:u w:val="single"/>
        </w:rPr>
        <w:t>PIB e Inflación a lo largo del tiempo.</w:t>
      </w:r>
    </w:p>
    <w:p w:rsidR="0008048B" w:rsidRDefault="0008048B" w:rsidP="000D7AF4">
      <w:pPr>
        <w:spacing w:line="360" w:lineRule="auto"/>
        <w:jc w:val="both"/>
      </w:pPr>
      <w:r>
        <w:t xml:space="preserve">En este caso las series están </w:t>
      </w:r>
      <w:r w:rsidR="00075B1C">
        <w:t xml:space="preserve">cointegradas, </w:t>
      </w:r>
      <w:r w:rsidR="00AD0B81">
        <w:t>se observa como a lo largo del tiempo crecen inversamente proporcionalmente</w:t>
      </w:r>
      <w:r w:rsidR="001D2EB6">
        <w:t xml:space="preserve">. </w:t>
      </w:r>
    </w:p>
    <w:p w:rsidR="0012654B" w:rsidRDefault="0012654B" w:rsidP="000D7AF4">
      <w:pPr>
        <w:spacing w:line="360" w:lineRule="auto"/>
        <w:jc w:val="both"/>
      </w:pPr>
      <w:r>
        <w:t>Como podemos observar en 2002 se produce el ingreso en la comunidad europea, por lo que el índice de precios tiene que reducirse, es por esto por lo que la inflación disminuye.</w:t>
      </w:r>
    </w:p>
    <w:p w:rsidR="000D7AF4" w:rsidRDefault="001D2EB6" w:rsidP="000D7AF4">
      <w:pPr>
        <w:spacing w:line="360" w:lineRule="auto"/>
        <w:jc w:val="both"/>
      </w:pPr>
      <w:r>
        <w:t>En 2008 hay un gran descenso del crecimiento del producto interior bruto debido a la crisis financiera, pero</w:t>
      </w:r>
      <w:r w:rsidR="004D260A">
        <w:t xml:space="preserve"> </w:t>
      </w:r>
      <w:r>
        <w:t xml:space="preserve">se </w:t>
      </w:r>
      <w:r w:rsidR="004D260A">
        <w:t>estabiliza a lo largo del tiempo, aumentando la inflación</w:t>
      </w:r>
      <w:r w:rsidR="0012654B">
        <w:t>.</w:t>
      </w:r>
    </w:p>
    <w:p w:rsidR="001A2D52" w:rsidRDefault="003F491D" w:rsidP="000D7AF4">
      <w:pPr>
        <w:spacing w:line="360" w:lineRule="auto"/>
        <w:jc w:val="both"/>
      </w:pPr>
      <w:r>
        <w:rPr>
          <w:noProof/>
        </w:rPr>
        <w:lastRenderedPageBreak/>
        <w:drawing>
          <wp:inline distT="0" distB="0" distL="0" distR="0">
            <wp:extent cx="5400040" cy="3332480"/>
            <wp:effectExtent l="0" t="0" r="0" b="1270"/>
            <wp:docPr id="5" name="Imagen 5"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ie.jpg"/>
                    <pic:cNvPicPr/>
                  </pic:nvPicPr>
                  <pic:blipFill>
                    <a:blip r:embed="rId6">
                      <a:extLst>
                        <a:ext uri="{28A0092B-C50C-407E-A947-70E740481C1C}">
                          <a14:useLocalDpi xmlns:a14="http://schemas.microsoft.com/office/drawing/2010/main" val="0"/>
                        </a:ext>
                      </a:extLst>
                    </a:blip>
                    <a:stretch>
                      <a:fillRect/>
                    </a:stretch>
                  </pic:blipFill>
                  <pic:spPr>
                    <a:xfrm>
                      <a:off x="0" y="0"/>
                      <a:ext cx="5400040" cy="3332480"/>
                    </a:xfrm>
                    <a:prstGeom prst="rect">
                      <a:avLst/>
                    </a:prstGeom>
                  </pic:spPr>
                </pic:pic>
              </a:graphicData>
            </a:graphic>
          </wp:inline>
        </w:drawing>
      </w:r>
    </w:p>
    <w:p w:rsidR="001A2D52" w:rsidRDefault="001A2D52" w:rsidP="001A2D52"/>
    <w:p w:rsidR="0012654B" w:rsidRPr="002D514C" w:rsidRDefault="0012654B" w:rsidP="004D260A">
      <w:pPr>
        <w:rPr>
          <w:b/>
          <w:bCs/>
          <w:sz w:val="24"/>
          <w:szCs w:val="24"/>
          <w:u w:val="single"/>
        </w:rPr>
      </w:pPr>
      <w:r w:rsidRPr="002D514C">
        <w:rPr>
          <w:b/>
          <w:bCs/>
          <w:sz w:val="24"/>
          <w:szCs w:val="24"/>
          <w:u w:val="single"/>
        </w:rPr>
        <w:t>Modelo VAR: Países Bajos</w:t>
      </w:r>
    </w:p>
    <w:p w:rsidR="004D260A" w:rsidRDefault="0012654B" w:rsidP="000D7AF4">
      <w:pPr>
        <w:spacing w:line="360" w:lineRule="auto"/>
        <w:jc w:val="both"/>
      </w:pPr>
      <w:r>
        <w:t>Nuestras series están cointegradas, por lo q</w:t>
      </w:r>
      <w:bookmarkStart w:id="0" w:name="_GoBack"/>
      <w:bookmarkEnd w:id="0"/>
      <w:r>
        <w:t>ue s</w:t>
      </w:r>
      <w:r w:rsidR="004D260A">
        <w:t>e debe incluir una especificación VAR que incluya un mecanismo de corrección de errores vectorial VECM y se deben usar métodos alternativos de estimación para estimar los mínimos cuadrados.</w:t>
      </w:r>
    </w:p>
    <w:p w:rsidR="004D260A" w:rsidRDefault="004D260A" w:rsidP="000D7AF4">
      <w:pPr>
        <w:spacing w:line="360" w:lineRule="auto"/>
        <w:jc w:val="both"/>
      </w:pPr>
      <w:r>
        <w:t>En nuestro caso se ha realizado una estimación de un VAR con k = 2 variables, p = 4 retardos</w:t>
      </w:r>
      <w:r w:rsidR="0012654B">
        <w:t>, obteniendo los siguientes coeficientes.</w:t>
      </w:r>
    </w:p>
    <w:p w:rsidR="0012654B" w:rsidRDefault="0012654B" w:rsidP="004D260A"/>
    <w:tbl>
      <w:tblPr>
        <w:tblStyle w:val="Tablaconcuadrcula"/>
        <w:tblW w:w="0" w:type="auto"/>
        <w:jc w:val="center"/>
        <w:tblLook w:val="04A0" w:firstRow="1" w:lastRow="0" w:firstColumn="1" w:lastColumn="0" w:noHBand="0" w:noVBand="1"/>
      </w:tblPr>
      <w:tblGrid>
        <w:gridCol w:w="1747"/>
        <w:gridCol w:w="1747"/>
        <w:gridCol w:w="1747"/>
      </w:tblGrid>
      <w:tr w:rsidR="0012654B" w:rsidTr="000D7AF4">
        <w:trPr>
          <w:trHeight w:val="250"/>
          <w:jc w:val="center"/>
        </w:trPr>
        <w:tc>
          <w:tcPr>
            <w:tcW w:w="1747" w:type="dxa"/>
          </w:tcPr>
          <w:p w:rsidR="0012654B" w:rsidRPr="000D7AF4" w:rsidRDefault="0012654B" w:rsidP="004D260A">
            <w:pPr>
              <w:rPr>
                <w:b/>
                <w:bCs/>
              </w:rPr>
            </w:pPr>
            <w:r w:rsidRPr="000D7AF4">
              <w:rPr>
                <w:b/>
                <w:bCs/>
              </w:rPr>
              <w:t>Coeficientes estimados</w:t>
            </w:r>
          </w:p>
        </w:tc>
        <w:tc>
          <w:tcPr>
            <w:tcW w:w="1747" w:type="dxa"/>
          </w:tcPr>
          <w:p w:rsidR="0012654B" w:rsidRPr="000D7AF4" w:rsidRDefault="0012654B" w:rsidP="004D260A">
            <w:pPr>
              <w:rPr>
                <w:b/>
                <w:bCs/>
              </w:rPr>
            </w:pPr>
            <w:r w:rsidRPr="000D7AF4">
              <w:rPr>
                <w:b/>
                <w:bCs/>
              </w:rPr>
              <w:t>Crecimiento</w:t>
            </w:r>
            <w:r w:rsidR="002D514C">
              <w:rPr>
                <w:b/>
                <w:bCs/>
              </w:rPr>
              <w:t xml:space="preserve"> (t)</w:t>
            </w:r>
          </w:p>
        </w:tc>
        <w:tc>
          <w:tcPr>
            <w:tcW w:w="1747" w:type="dxa"/>
          </w:tcPr>
          <w:p w:rsidR="0012654B" w:rsidRPr="000D7AF4" w:rsidRDefault="0012654B" w:rsidP="004D260A">
            <w:pPr>
              <w:rPr>
                <w:b/>
                <w:bCs/>
              </w:rPr>
            </w:pPr>
            <w:r w:rsidRPr="000D7AF4">
              <w:rPr>
                <w:b/>
                <w:bCs/>
              </w:rPr>
              <w:t>Inflación</w:t>
            </w:r>
            <w:r w:rsidR="002D514C">
              <w:rPr>
                <w:b/>
                <w:bCs/>
              </w:rPr>
              <w:t xml:space="preserve"> (t)</w:t>
            </w:r>
          </w:p>
        </w:tc>
      </w:tr>
      <w:tr w:rsidR="0012654B" w:rsidTr="000D7AF4">
        <w:trPr>
          <w:trHeight w:val="250"/>
          <w:jc w:val="center"/>
        </w:trPr>
        <w:tc>
          <w:tcPr>
            <w:tcW w:w="1747" w:type="dxa"/>
          </w:tcPr>
          <w:p w:rsidR="0012654B" w:rsidRPr="000D7AF4" w:rsidRDefault="0012654B" w:rsidP="004D260A">
            <w:r w:rsidRPr="000D7AF4">
              <w:t>Crecimiento (t-1)</w:t>
            </w:r>
          </w:p>
        </w:tc>
        <w:tc>
          <w:tcPr>
            <w:tcW w:w="1747" w:type="dxa"/>
          </w:tcPr>
          <w:p w:rsidR="0012654B" w:rsidRDefault="0012654B" w:rsidP="000D7AF4">
            <w:pPr>
              <w:jc w:val="right"/>
            </w:pPr>
            <w:r>
              <w:t>0</w:t>
            </w:r>
            <w:r w:rsidR="000D7AF4">
              <w:t>.</w:t>
            </w:r>
            <w:r>
              <w:t>25</w:t>
            </w:r>
          </w:p>
        </w:tc>
        <w:tc>
          <w:tcPr>
            <w:tcW w:w="1747" w:type="dxa"/>
          </w:tcPr>
          <w:p w:rsidR="0012654B" w:rsidRDefault="000D7AF4" w:rsidP="000D7AF4">
            <w:pPr>
              <w:jc w:val="right"/>
            </w:pPr>
            <w:r>
              <w:t>0.06</w:t>
            </w:r>
          </w:p>
        </w:tc>
      </w:tr>
      <w:tr w:rsidR="0012654B" w:rsidTr="000D7AF4">
        <w:trPr>
          <w:trHeight w:val="261"/>
          <w:jc w:val="center"/>
        </w:trPr>
        <w:tc>
          <w:tcPr>
            <w:tcW w:w="1747" w:type="dxa"/>
          </w:tcPr>
          <w:p w:rsidR="0012654B" w:rsidRPr="000D7AF4" w:rsidRDefault="0012654B" w:rsidP="0012654B">
            <w:r w:rsidRPr="000D7AF4">
              <w:t>Crecimiento (t-</w:t>
            </w:r>
            <w:r w:rsidRPr="000D7AF4">
              <w:t>2</w:t>
            </w:r>
            <w:r w:rsidRPr="000D7AF4">
              <w:t>)</w:t>
            </w:r>
          </w:p>
        </w:tc>
        <w:tc>
          <w:tcPr>
            <w:tcW w:w="1747" w:type="dxa"/>
          </w:tcPr>
          <w:p w:rsidR="0012654B" w:rsidRDefault="000D7AF4" w:rsidP="000D7AF4">
            <w:pPr>
              <w:jc w:val="right"/>
            </w:pPr>
            <w:r>
              <w:t>0.17</w:t>
            </w:r>
          </w:p>
        </w:tc>
        <w:tc>
          <w:tcPr>
            <w:tcW w:w="1747" w:type="dxa"/>
          </w:tcPr>
          <w:p w:rsidR="0012654B" w:rsidRDefault="000D7AF4" w:rsidP="000D7AF4">
            <w:pPr>
              <w:jc w:val="right"/>
            </w:pPr>
            <w:r>
              <w:t>0.10</w:t>
            </w:r>
          </w:p>
        </w:tc>
      </w:tr>
      <w:tr w:rsidR="0012654B" w:rsidTr="000D7AF4">
        <w:trPr>
          <w:trHeight w:val="250"/>
          <w:jc w:val="center"/>
        </w:trPr>
        <w:tc>
          <w:tcPr>
            <w:tcW w:w="1747" w:type="dxa"/>
          </w:tcPr>
          <w:p w:rsidR="0012654B" w:rsidRPr="000D7AF4" w:rsidRDefault="0012654B" w:rsidP="0012654B">
            <w:r w:rsidRPr="000D7AF4">
              <w:t>Crecimiento (t-</w:t>
            </w:r>
            <w:r w:rsidRPr="000D7AF4">
              <w:t>3</w:t>
            </w:r>
            <w:r w:rsidRPr="000D7AF4">
              <w:t>)</w:t>
            </w:r>
          </w:p>
        </w:tc>
        <w:tc>
          <w:tcPr>
            <w:tcW w:w="1747" w:type="dxa"/>
          </w:tcPr>
          <w:p w:rsidR="0012654B" w:rsidRDefault="000D7AF4" w:rsidP="000D7AF4">
            <w:pPr>
              <w:jc w:val="right"/>
            </w:pPr>
            <w:r>
              <w:t>0.05</w:t>
            </w:r>
          </w:p>
        </w:tc>
        <w:tc>
          <w:tcPr>
            <w:tcW w:w="1747" w:type="dxa"/>
          </w:tcPr>
          <w:p w:rsidR="0012654B" w:rsidRDefault="000D7AF4" w:rsidP="000D7AF4">
            <w:pPr>
              <w:jc w:val="right"/>
            </w:pPr>
            <w:r>
              <w:t>-0.04</w:t>
            </w:r>
          </w:p>
        </w:tc>
      </w:tr>
      <w:tr w:rsidR="0012654B" w:rsidTr="000D7AF4">
        <w:trPr>
          <w:trHeight w:val="250"/>
          <w:jc w:val="center"/>
        </w:trPr>
        <w:tc>
          <w:tcPr>
            <w:tcW w:w="1747" w:type="dxa"/>
          </w:tcPr>
          <w:p w:rsidR="0012654B" w:rsidRPr="000D7AF4" w:rsidRDefault="0012654B" w:rsidP="0012654B">
            <w:r w:rsidRPr="000D7AF4">
              <w:t>Crecimiento (t-</w:t>
            </w:r>
            <w:r w:rsidRPr="000D7AF4">
              <w:t>4</w:t>
            </w:r>
            <w:r w:rsidRPr="000D7AF4">
              <w:t>)</w:t>
            </w:r>
          </w:p>
        </w:tc>
        <w:tc>
          <w:tcPr>
            <w:tcW w:w="1747" w:type="dxa"/>
          </w:tcPr>
          <w:p w:rsidR="0012654B" w:rsidRDefault="000D7AF4" w:rsidP="000D7AF4">
            <w:pPr>
              <w:jc w:val="right"/>
            </w:pPr>
            <w:r>
              <w:t>0.11</w:t>
            </w:r>
          </w:p>
        </w:tc>
        <w:tc>
          <w:tcPr>
            <w:tcW w:w="1747" w:type="dxa"/>
          </w:tcPr>
          <w:p w:rsidR="0012654B" w:rsidRDefault="000D7AF4" w:rsidP="000D7AF4">
            <w:pPr>
              <w:jc w:val="right"/>
            </w:pPr>
            <w:r>
              <w:t>0.03</w:t>
            </w:r>
          </w:p>
        </w:tc>
      </w:tr>
      <w:tr w:rsidR="0012654B" w:rsidTr="000D7AF4">
        <w:trPr>
          <w:trHeight w:val="250"/>
          <w:jc w:val="center"/>
        </w:trPr>
        <w:tc>
          <w:tcPr>
            <w:tcW w:w="1747" w:type="dxa"/>
          </w:tcPr>
          <w:p w:rsidR="0012654B" w:rsidRPr="000D7AF4" w:rsidRDefault="0012654B" w:rsidP="0012654B">
            <w:r w:rsidRPr="000D7AF4">
              <w:t>Inflación</w:t>
            </w:r>
            <w:r w:rsidRPr="000D7AF4">
              <w:t xml:space="preserve"> (t-1)</w:t>
            </w:r>
          </w:p>
        </w:tc>
        <w:tc>
          <w:tcPr>
            <w:tcW w:w="1747" w:type="dxa"/>
          </w:tcPr>
          <w:p w:rsidR="0012654B" w:rsidRDefault="000D7AF4" w:rsidP="000D7AF4">
            <w:pPr>
              <w:jc w:val="right"/>
            </w:pPr>
            <w:r>
              <w:t>-0.11</w:t>
            </w:r>
          </w:p>
        </w:tc>
        <w:tc>
          <w:tcPr>
            <w:tcW w:w="1747" w:type="dxa"/>
          </w:tcPr>
          <w:p w:rsidR="0012654B" w:rsidRDefault="000D7AF4" w:rsidP="000D7AF4">
            <w:pPr>
              <w:jc w:val="right"/>
            </w:pPr>
            <w:r>
              <w:t>0.94</w:t>
            </w:r>
          </w:p>
        </w:tc>
      </w:tr>
      <w:tr w:rsidR="0012654B" w:rsidTr="000D7AF4">
        <w:trPr>
          <w:trHeight w:val="261"/>
          <w:jc w:val="center"/>
        </w:trPr>
        <w:tc>
          <w:tcPr>
            <w:tcW w:w="1747" w:type="dxa"/>
          </w:tcPr>
          <w:p w:rsidR="0012654B" w:rsidRPr="000D7AF4" w:rsidRDefault="0012654B" w:rsidP="0012654B">
            <w:r w:rsidRPr="000D7AF4">
              <w:t>Inflación (t-</w:t>
            </w:r>
            <w:r w:rsidRPr="000D7AF4">
              <w:t>2</w:t>
            </w:r>
            <w:r w:rsidRPr="000D7AF4">
              <w:t>)</w:t>
            </w:r>
          </w:p>
        </w:tc>
        <w:tc>
          <w:tcPr>
            <w:tcW w:w="1747" w:type="dxa"/>
          </w:tcPr>
          <w:p w:rsidR="0012654B" w:rsidRDefault="000D7AF4" w:rsidP="000D7AF4">
            <w:pPr>
              <w:jc w:val="right"/>
            </w:pPr>
            <w:r>
              <w:t>-0.1</w:t>
            </w:r>
          </w:p>
        </w:tc>
        <w:tc>
          <w:tcPr>
            <w:tcW w:w="1747" w:type="dxa"/>
          </w:tcPr>
          <w:p w:rsidR="0012654B" w:rsidRDefault="000D7AF4" w:rsidP="000D7AF4">
            <w:pPr>
              <w:jc w:val="right"/>
            </w:pPr>
            <w:r>
              <w:t>-0.01</w:t>
            </w:r>
          </w:p>
        </w:tc>
      </w:tr>
      <w:tr w:rsidR="0012654B" w:rsidTr="000D7AF4">
        <w:trPr>
          <w:trHeight w:val="250"/>
          <w:jc w:val="center"/>
        </w:trPr>
        <w:tc>
          <w:tcPr>
            <w:tcW w:w="1747" w:type="dxa"/>
          </w:tcPr>
          <w:p w:rsidR="0012654B" w:rsidRPr="000D7AF4" w:rsidRDefault="0012654B" w:rsidP="0012654B">
            <w:r w:rsidRPr="000D7AF4">
              <w:t>Inflación (t-</w:t>
            </w:r>
            <w:r w:rsidRPr="000D7AF4">
              <w:t>3</w:t>
            </w:r>
            <w:r w:rsidRPr="000D7AF4">
              <w:t>)</w:t>
            </w:r>
          </w:p>
        </w:tc>
        <w:tc>
          <w:tcPr>
            <w:tcW w:w="1747" w:type="dxa"/>
          </w:tcPr>
          <w:p w:rsidR="0012654B" w:rsidRDefault="000D7AF4" w:rsidP="000D7AF4">
            <w:pPr>
              <w:jc w:val="right"/>
            </w:pPr>
            <w:r>
              <w:t>0.02</w:t>
            </w:r>
          </w:p>
        </w:tc>
        <w:tc>
          <w:tcPr>
            <w:tcW w:w="1747" w:type="dxa"/>
          </w:tcPr>
          <w:p w:rsidR="0012654B" w:rsidRDefault="000D7AF4" w:rsidP="000D7AF4">
            <w:pPr>
              <w:jc w:val="right"/>
            </w:pPr>
            <w:r>
              <w:t>0.15</w:t>
            </w:r>
          </w:p>
        </w:tc>
      </w:tr>
      <w:tr w:rsidR="0012654B" w:rsidTr="000D7AF4">
        <w:trPr>
          <w:trHeight w:val="250"/>
          <w:jc w:val="center"/>
        </w:trPr>
        <w:tc>
          <w:tcPr>
            <w:tcW w:w="1747" w:type="dxa"/>
          </w:tcPr>
          <w:p w:rsidR="0012654B" w:rsidRPr="000D7AF4" w:rsidRDefault="0012654B" w:rsidP="0012654B">
            <w:r w:rsidRPr="000D7AF4">
              <w:t>Inflación (t-</w:t>
            </w:r>
            <w:r w:rsidRPr="000D7AF4">
              <w:t>4</w:t>
            </w:r>
            <w:r w:rsidRPr="000D7AF4">
              <w:t>)</w:t>
            </w:r>
          </w:p>
        </w:tc>
        <w:tc>
          <w:tcPr>
            <w:tcW w:w="1747" w:type="dxa"/>
          </w:tcPr>
          <w:p w:rsidR="0012654B" w:rsidRDefault="000D7AF4" w:rsidP="000D7AF4">
            <w:pPr>
              <w:jc w:val="right"/>
            </w:pPr>
            <w:r>
              <w:t>0.06</w:t>
            </w:r>
          </w:p>
        </w:tc>
        <w:tc>
          <w:tcPr>
            <w:tcW w:w="1747" w:type="dxa"/>
          </w:tcPr>
          <w:p w:rsidR="0012654B" w:rsidRDefault="000D7AF4" w:rsidP="000D7AF4">
            <w:pPr>
              <w:jc w:val="right"/>
            </w:pPr>
            <w:r>
              <w:t>-0.22</w:t>
            </w:r>
          </w:p>
        </w:tc>
      </w:tr>
    </w:tbl>
    <w:p w:rsidR="002D514C" w:rsidRDefault="002D514C" w:rsidP="001A2D52">
      <w:pPr>
        <w:rPr>
          <w:b/>
          <w:bCs/>
          <w:sz w:val="24"/>
          <w:szCs w:val="24"/>
          <w:u w:val="single"/>
        </w:rPr>
      </w:pPr>
    </w:p>
    <w:p w:rsidR="002D514C" w:rsidRDefault="002D514C" w:rsidP="001A2D52">
      <w:pPr>
        <w:rPr>
          <w:b/>
          <w:bCs/>
          <w:sz w:val="24"/>
          <w:szCs w:val="24"/>
          <w:u w:val="single"/>
        </w:rPr>
      </w:pPr>
    </w:p>
    <w:p w:rsidR="002D514C" w:rsidRDefault="002D514C" w:rsidP="001A2D52">
      <w:pPr>
        <w:rPr>
          <w:b/>
          <w:bCs/>
          <w:sz w:val="24"/>
          <w:szCs w:val="24"/>
          <w:u w:val="single"/>
        </w:rPr>
      </w:pPr>
    </w:p>
    <w:p w:rsidR="002D514C" w:rsidRDefault="002D514C" w:rsidP="001A2D52">
      <w:pPr>
        <w:rPr>
          <w:b/>
          <w:bCs/>
          <w:sz w:val="24"/>
          <w:szCs w:val="24"/>
          <w:u w:val="single"/>
        </w:rPr>
      </w:pPr>
    </w:p>
    <w:p w:rsidR="001A2D52" w:rsidRPr="003F491D" w:rsidRDefault="002D514C" w:rsidP="001A2D52">
      <w:pPr>
        <w:rPr>
          <w:b/>
          <w:bCs/>
          <w:sz w:val="24"/>
          <w:szCs w:val="24"/>
          <w:u w:val="single"/>
        </w:rPr>
      </w:pPr>
      <w:r w:rsidRPr="003F491D">
        <w:rPr>
          <w:b/>
          <w:bCs/>
          <w:sz w:val="24"/>
          <w:szCs w:val="24"/>
          <w:u w:val="single"/>
        </w:rPr>
        <w:lastRenderedPageBreak/>
        <w:t>Predicción</w:t>
      </w:r>
    </w:p>
    <w:p w:rsidR="003F491D" w:rsidRDefault="002D514C" w:rsidP="003F491D">
      <w:pPr>
        <w:spacing w:line="360" w:lineRule="auto"/>
      </w:pPr>
      <w:r>
        <w:t>Como podemos observar el intervalo de confianza de la predicción es mayor, debido a que hay mayor fluctuación</w:t>
      </w:r>
      <w:r w:rsidR="003F491D">
        <w:t>, observamos una tendencia decreciente, aunque no muy significativa.</w:t>
      </w:r>
    </w:p>
    <w:p w:rsidR="002D514C" w:rsidRDefault="003F491D" w:rsidP="003F491D">
      <w:pPr>
        <w:spacing w:line="360" w:lineRule="auto"/>
      </w:pPr>
      <w:r>
        <w:t>Por otro lado,</w:t>
      </w:r>
      <w:r w:rsidR="002D514C">
        <w:t xml:space="preserve"> la tasa de crecimiento</w:t>
      </w:r>
      <w:r>
        <w:t xml:space="preserve"> del producto interior bruto</w:t>
      </w:r>
      <w:r w:rsidR="002D514C">
        <w:t xml:space="preserve"> en el tiempo es mas constante en el tiempo, aunque se puede observar una cierta tendencia creciente</w:t>
      </w:r>
      <w:r>
        <w:t>, y menor fluctuación.</w:t>
      </w:r>
    </w:p>
    <w:p w:rsidR="003F491D" w:rsidRDefault="003F491D" w:rsidP="003F491D">
      <w:pPr>
        <w:spacing w:line="360" w:lineRule="auto"/>
      </w:pPr>
    </w:p>
    <w:p w:rsidR="003F491D" w:rsidRPr="003F491D" w:rsidRDefault="003F491D" w:rsidP="003F491D">
      <w:pPr>
        <w:spacing w:line="360" w:lineRule="auto"/>
      </w:pPr>
      <w:r w:rsidRPr="003F491D">
        <w:rPr>
          <w:b/>
          <w:bCs/>
          <w:noProof/>
          <w:sz w:val="24"/>
          <w:szCs w:val="24"/>
        </w:rPr>
        <w:drawing>
          <wp:inline distT="0" distB="0" distL="0" distR="0">
            <wp:extent cx="5400040" cy="3332480"/>
            <wp:effectExtent l="0" t="0" r="0" b="1270"/>
            <wp:docPr id="6" name="Imagen 6"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diccion.jpg"/>
                    <pic:cNvPicPr/>
                  </pic:nvPicPr>
                  <pic:blipFill>
                    <a:blip r:embed="rId7">
                      <a:extLst>
                        <a:ext uri="{28A0092B-C50C-407E-A947-70E740481C1C}">
                          <a14:useLocalDpi xmlns:a14="http://schemas.microsoft.com/office/drawing/2010/main" val="0"/>
                        </a:ext>
                      </a:extLst>
                    </a:blip>
                    <a:stretch>
                      <a:fillRect/>
                    </a:stretch>
                  </pic:blipFill>
                  <pic:spPr>
                    <a:xfrm>
                      <a:off x="0" y="0"/>
                      <a:ext cx="5400040" cy="3332480"/>
                    </a:xfrm>
                    <a:prstGeom prst="rect">
                      <a:avLst/>
                    </a:prstGeom>
                  </pic:spPr>
                </pic:pic>
              </a:graphicData>
            </a:graphic>
          </wp:inline>
        </w:drawing>
      </w:r>
    </w:p>
    <w:p w:rsidR="003F491D" w:rsidRPr="003F491D" w:rsidRDefault="003F491D" w:rsidP="003F491D"/>
    <w:p w:rsidR="003F491D" w:rsidRPr="003F491D" w:rsidRDefault="003F491D" w:rsidP="003F491D"/>
    <w:p w:rsidR="003F491D" w:rsidRPr="003F491D" w:rsidRDefault="003F491D" w:rsidP="003F491D">
      <w:pPr>
        <w:rPr>
          <w:b/>
          <w:bCs/>
          <w:sz w:val="24"/>
          <w:szCs w:val="24"/>
          <w:u w:val="single"/>
        </w:rPr>
      </w:pPr>
      <w:r w:rsidRPr="003F491D">
        <w:rPr>
          <w:b/>
          <w:bCs/>
          <w:sz w:val="24"/>
          <w:szCs w:val="24"/>
          <w:u w:val="single"/>
        </w:rPr>
        <w:t>BIBLIOGRAFÍA</w:t>
      </w:r>
    </w:p>
    <w:p w:rsidR="003F491D" w:rsidRPr="003F491D" w:rsidRDefault="003F491D" w:rsidP="003F491D">
      <w:hyperlink r:id="rId8" w:history="1">
        <w:r>
          <w:rPr>
            <w:rStyle w:val="Hipervnculo"/>
          </w:rPr>
          <w:t>https://fred.stlouisfed.org/</w:t>
        </w:r>
      </w:hyperlink>
      <w:sdt>
        <w:sdtPr>
          <w:id w:val="1986189033"/>
          <w:citation/>
        </w:sdtPr>
        <w:sdtContent>
          <w:r>
            <w:fldChar w:fldCharType="begin"/>
          </w:r>
          <w:r>
            <w:instrText xml:space="preserve"> CITATION Fed \l 3082 </w:instrText>
          </w:r>
          <w:r>
            <w:fldChar w:fldCharType="separate"/>
          </w:r>
          <w:r>
            <w:rPr>
              <w:noProof/>
            </w:rPr>
            <w:t xml:space="preserve"> (Federal Reserv Economic Data | FRED, s.f.)</w:t>
          </w:r>
          <w:r>
            <w:fldChar w:fldCharType="end"/>
          </w:r>
        </w:sdtContent>
      </w:sdt>
    </w:p>
    <w:p w:rsidR="003F491D" w:rsidRPr="003F491D" w:rsidRDefault="003F491D" w:rsidP="003F491D"/>
    <w:p w:rsidR="003F491D" w:rsidRPr="003F491D" w:rsidRDefault="003F491D" w:rsidP="003F491D"/>
    <w:p w:rsidR="003F491D" w:rsidRPr="003F491D" w:rsidRDefault="003F491D" w:rsidP="003F491D"/>
    <w:p w:rsidR="003F491D" w:rsidRPr="003F491D" w:rsidRDefault="003F491D" w:rsidP="003F491D"/>
    <w:p w:rsidR="003F491D" w:rsidRPr="003F491D" w:rsidRDefault="003F491D" w:rsidP="003F491D"/>
    <w:p w:rsidR="003F491D" w:rsidRPr="003F491D" w:rsidRDefault="003F491D" w:rsidP="003F491D"/>
    <w:p w:rsidR="003F491D" w:rsidRPr="003F491D" w:rsidRDefault="003F491D" w:rsidP="003F491D"/>
    <w:sectPr w:rsidR="003F491D" w:rsidRPr="003F49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13419"/>
    <w:multiLevelType w:val="hybridMultilevel"/>
    <w:tmpl w:val="CB18E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9C39F5"/>
    <w:multiLevelType w:val="hybridMultilevel"/>
    <w:tmpl w:val="650CF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D52"/>
    <w:rsid w:val="00075B1C"/>
    <w:rsid w:val="0008048B"/>
    <w:rsid w:val="000D7AF4"/>
    <w:rsid w:val="00106B75"/>
    <w:rsid w:val="0012654B"/>
    <w:rsid w:val="001A2D52"/>
    <w:rsid w:val="001D2EB6"/>
    <w:rsid w:val="002D514C"/>
    <w:rsid w:val="003F491D"/>
    <w:rsid w:val="004D260A"/>
    <w:rsid w:val="00582DB1"/>
    <w:rsid w:val="00AD0B81"/>
    <w:rsid w:val="00B6195D"/>
    <w:rsid w:val="00B6676C"/>
    <w:rsid w:val="00FD1A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83120"/>
  <w15:chartTrackingRefBased/>
  <w15:docId w15:val="{E1907C1E-52BF-4170-AFE9-3E4D6264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5B1C"/>
    <w:pPr>
      <w:ind w:left="720"/>
      <w:contextualSpacing/>
    </w:pPr>
  </w:style>
  <w:style w:type="table" w:styleId="Tablaconcuadrcula">
    <w:name w:val="Table Grid"/>
    <w:basedOn w:val="Tablanormal"/>
    <w:uiPriority w:val="39"/>
    <w:rsid w:val="00126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3F49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34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d.stlouisfed.org/"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Fed</b:Tag>
    <b:SourceType>InternetSite</b:SourceType>
    <b:Guid>{4A302225-2021-427D-81B7-734DE5D1588A}</b:Guid>
    <b:Title>Federal Reserv Economic Data | FRED</b:Title>
    <b:URL>https://fred.stlouisfed.org/</b:URL>
    <b:RefOrder>1</b:RefOrder>
  </b:Source>
</b:Sources>
</file>

<file path=customXml/itemProps1.xml><?xml version="1.0" encoding="utf-8"?>
<ds:datastoreItem xmlns:ds="http://schemas.openxmlformats.org/officeDocument/2006/customXml" ds:itemID="{BE1C35A4-C705-4DB7-857B-18062FD47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438</Words>
  <Characters>2415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echevarriacarlota@gmail.com</dc:creator>
  <cp:keywords/>
  <dc:description/>
  <cp:lastModifiedBy>echevarriacarlota@gmail.com</cp:lastModifiedBy>
  <cp:revision>2</cp:revision>
  <dcterms:created xsi:type="dcterms:W3CDTF">2019-12-09T11:25:00Z</dcterms:created>
  <dcterms:modified xsi:type="dcterms:W3CDTF">2019-12-09T13:24:00Z</dcterms:modified>
</cp:coreProperties>
</file>