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48DE" w14:textId="47768340" w:rsidR="00526904" w:rsidRPr="00F05D43" w:rsidRDefault="00FA42C6" w:rsidP="00526904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FA42C6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</w:t>
      </w:r>
      <w:r w:rsidRPr="00FA42C6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</w:t>
      </w:r>
    </w:p>
    <w:p w14:paraId="4C37F0AE" w14:textId="31445681" w:rsidR="00526904" w:rsidRPr="00F05D43" w:rsidRDefault="00E0720E" w:rsidP="00FA42C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0720E">
        <w:rPr>
          <w:rFonts w:ascii="Microsoft YaHei UI" w:eastAsia="Microsoft YaHei UI" w:hAnsi="Microsoft YaHei UI"/>
        </w:rPr>
        <w:t>Spring Cloud是一个微服务框架</w:t>
      </w:r>
      <w:r>
        <w:rPr>
          <w:rFonts w:ascii="Microsoft YaHei UI" w:eastAsia="Microsoft YaHei UI" w:hAnsi="Microsoft YaHei UI" w:hint="eastAsia"/>
        </w:rPr>
        <w:t>，集成了各种功能组件，包括服务注册发现、统一配置管理、服务远程调用、统一网关路由等等</w:t>
      </w:r>
    </w:p>
    <w:p w14:paraId="386C2F6B" w14:textId="28D0C06A" w:rsidR="00FA42C6" w:rsidRPr="00F05D43" w:rsidRDefault="000B2EEB" w:rsidP="00FA42C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B2EEB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优缺点</w:t>
      </w:r>
    </w:p>
    <w:p w14:paraId="763A4A86" w14:textId="4774208A" w:rsidR="00B210D8" w:rsidRDefault="00E61179" w:rsidP="00FA42C6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优点：</w:t>
      </w:r>
      <w:r w:rsidR="000B2EEB" w:rsidRPr="000B2EEB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组件丰富，功能齐全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。缺点：</w:t>
      </w:r>
      <w:r w:rsidRPr="00E6117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微服务过多，治理成本高，不利于维护系统</w:t>
      </w:r>
    </w:p>
    <w:p w14:paraId="02FFA19B" w14:textId="09D9767F" w:rsidR="0062761D" w:rsidRPr="00F05D43" w:rsidRDefault="0062761D" w:rsidP="0062761D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2761D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 Config</w:t>
      </w:r>
    </w:p>
    <w:p w14:paraId="12B348E1" w14:textId="1E2486BB" w:rsidR="0062761D" w:rsidRDefault="00CF4EE4" w:rsidP="00E61179">
      <w:pPr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</w:pPr>
      <w:r w:rsidRPr="00CF4EE4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微服务配置管理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Pr="00CF4EE4">
        <w:rPr>
          <w:rStyle w:val="a3"/>
          <w:rFonts w:ascii="Microsoft YaHei UI" w:eastAsia="Microsoft YaHei UI" w:hAnsi="Microsoft YaHei UI" w:cs="宋体" w:hint="eastAsia"/>
          <w:b w:val="0"/>
          <w:bCs w:val="0"/>
          <w:kern w:val="0"/>
          <w:sz w:val="24"/>
          <w:szCs w:val="24"/>
        </w:rPr>
        <w:t>统一管理服务的配置信息</w:t>
      </w:r>
    </w:p>
    <w:p w14:paraId="6E297B7F" w14:textId="7ED6501A" w:rsidR="007064B9" w:rsidRPr="00F05D43" w:rsidRDefault="007064B9" w:rsidP="007064B9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7064B9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 Consul</w:t>
      </w:r>
    </w:p>
    <w:p w14:paraId="777804F9" w14:textId="77777777" w:rsidR="00E92DFC" w:rsidRDefault="00E92DFC" w:rsidP="00E92DFC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AA0A8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微服务注册发现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Pr="00AA0A8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注册服务，集中管理服务</w:t>
      </w:r>
    </w:p>
    <w:p w14:paraId="738A1184" w14:textId="42216A83" w:rsidR="00C815A6" w:rsidRPr="00F05D43" w:rsidRDefault="00F12F27" w:rsidP="00C815A6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F12F27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 Netflix</w:t>
      </w:r>
    </w:p>
    <w:p w14:paraId="53D42669" w14:textId="456BA872" w:rsidR="00F12F27" w:rsidRPr="00F12F27" w:rsidRDefault="00F12F27" w:rsidP="00F12F2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Netflix OSS 开源组件集成，包括Eureka、Hystrix、Ribbon、Feign、Zuul等核心组件。</w:t>
      </w:r>
    </w:p>
    <w:p w14:paraId="42C1CE87" w14:textId="4C62EA54" w:rsidR="00AA0A8E" w:rsidRDefault="00F12F27" w:rsidP="00F12F2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Eureka：</w:t>
      </w:r>
      <w:r w:rsidR="00AA0A8E"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 xml:space="preserve"> </w:t>
      </w:r>
      <w:r w:rsidR="00AA0A8E" w:rsidRPr="00AA0A8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微服务注册发现</w:t>
      </w:r>
      <w:r w:rsidR="00AA0A8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="00AA0A8E" w:rsidRPr="00AA0A8E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注册服务，集中管理服务</w:t>
      </w:r>
    </w:p>
    <w:p w14:paraId="7CF6BBDD" w14:textId="2D575B8C" w:rsidR="00F12F27" w:rsidRPr="00F12F27" w:rsidRDefault="00F12F27" w:rsidP="00F12F2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Ribbon：</w:t>
      </w:r>
      <w:r w:rsidR="00C930F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</w:t>
      </w:r>
      <w:r w:rsidR="00C930F7" w:rsidRPr="00C930F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服务负载均衡</w:t>
      </w:r>
    </w:p>
    <w:p w14:paraId="20920CF7" w14:textId="0BFA4622" w:rsidR="00F12F27" w:rsidRPr="00F12F27" w:rsidRDefault="00F12F27" w:rsidP="00F12F2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Hystrix：</w:t>
      </w:r>
      <w:r w:rsidR="00C930F7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</w:t>
      </w:r>
      <w:r w:rsidR="00CD691D" w:rsidRPr="00CD691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服务熔断</w:t>
      </w:r>
      <w:r w:rsidR="00CD691D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="002B7A35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能够快速失败并返回一个备选的响应</w:t>
      </w:r>
    </w:p>
    <w:p w14:paraId="1E0826FD" w14:textId="44059CF0" w:rsidR="00F12F27" w:rsidRPr="002D0E62" w:rsidRDefault="00F12F27" w:rsidP="00F12F27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Feign：</w:t>
      </w:r>
      <w:r w:rsid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</w:t>
      </w:r>
      <w:r w:rsidR="002D0E62" w:rsidRP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服务接口调用</w:t>
      </w:r>
      <w:r w:rsid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="002D0E62" w:rsidRP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多个服务之间的通讯</w:t>
      </w:r>
    </w:p>
    <w:p w14:paraId="306EE5C8" w14:textId="2CD8A650" w:rsidR="00DD7345" w:rsidRDefault="00F12F27" w:rsidP="004A6B09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F12F27">
        <w:rPr>
          <w:rFonts w:ascii="Microsoft YaHei UI" w:eastAsia="Microsoft YaHei UI" w:hAnsi="Microsoft YaHei UI" w:cs="宋体"/>
          <w:kern w:val="0"/>
          <w:sz w:val="24"/>
          <w:szCs w:val="24"/>
        </w:rPr>
        <w:t>Zuul：</w:t>
      </w:r>
      <w:r w:rsidR="004A6B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</w:t>
      </w:r>
      <w:r w:rsidR="004A6B09">
        <w:rPr>
          <w:rFonts w:ascii="Microsoft YaHei UI" w:eastAsia="Microsoft YaHei UI" w:hAnsi="Microsoft YaHei UI" w:cs="宋体"/>
          <w:kern w:val="0"/>
          <w:sz w:val="24"/>
          <w:szCs w:val="24"/>
        </w:rPr>
        <w:t>PI</w:t>
      </w:r>
      <w:r w:rsidR="004A6B09" w:rsidRPr="00E61179">
        <w:rPr>
          <w:rFonts w:ascii="Microsoft YaHei UI" w:eastAsia="Microsoft YaHei UI" w:hAnsi="Microsoft YaHei UI" w:cs="宋体"/>
          <w:kern w:val="0"/>
          <w:sz w:val="24"/>
          <w:szCs w:val="24"/>
        </w:rPr>
        <w:t>网关</w:t>
      </w:r>
      <w:r w:rsidR="003E0406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="004A6B09" w:rsidRPr="00917D3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有路由转发</w:t>
      </w:r>
      <w:r w:rsidR="004A6B09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</w:t>
      </w:r>
      <w:r w:rsidR="004A6B09" w:rsidRPr="00917D3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作用</w:t>
      </w:r>
      <w:r w:rsidR="00C10A5B">
        <w:rPr>
          <w:rFonts w:ascii="Microsoft YaHei UI" w:eastAsia="Microsoft YaHei UI" w:hAnsi="Microsoft YaHei UI" w:cs="宋体"/>
          <w:kern w:val="0"/>
          <w:sz w:val="24"/>
          <w:szCs w:val="24"/>
        </w:rPr>
        <w:tab/>
      </w:r>
    </w:p>
    <w:p w14:paraId="287ED2E1" w14:textId="41589F18" w:rsidR="00E61179" w:rsidRPr="00F05D43" w:rsidRDefault="00E61179" w:rsidP="00E61179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E61179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 Gateway</w:t>
      </w:r>
    </w:p>
    <w:p w14:paraId="1E6B18A5" w14:textId="77777777" w:rsidR="00105640" w:rsidRDefault="00105640" w:rsidP="0061024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A</w:t>
      </w:r>
      <w:r>
        <w:rPr>
          <w:rFonts w:ascii="Microsoft YaHei UI" w:eastAsia="Microsoft YaHei UI" w:hAnsi="Microsoft YaHei UI" w:cs="宋体"/>
          <w:kern w:val="0"/>
          <w:sz w:val="24"/>
          <w:szCs w:val="24"/>
        </w:rPr>
        <w:t>PI</w:t>
      </w:r>
      <w:r w:rsidRPr="00E61179">
        <w:rPr>
          <w:rFonts w:ascii="Microsoft YaHei UI" w:eastAsia="Microsoft YaHei UI" w:hAnsi="Microsoft YaHei UI" w:cs="宋体"/>
          <w:kern w:val="0"/>
          <w:sz w:val="24"/>
          <w:szCs w:val="24"/>
        </w:rPr>
        <w:t>网关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Pr="00917D3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有路由转发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</w:t>
      </w:r>
      <w:r w:rsidRPr="00917D34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作用</w:t>
      </w:r>
    </w:p>
    <w:p w14:paraId="66B9D2DD" w14:textId="59293F37" w:rsidR="0061024D" w:rsidRPr="00F05D43" w:rsidRDefault="0061024D" w:rsidP="0061024D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61024D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 OpenFeign</w:t>
      </w:r>
    </w:p>
    <w:p w14:paraId="01DB529D" w14:textId="1E456912" w:rsidR="0061024D" w:rsidRDefault="002D0E62" w:rsidP="0061024D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微</w:t>
      </w:r>
      <w:r w:rsidRP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服务接口调用</w:t>
      </w: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——</w:t>
      </w:r>
      <w:r w:rsidRPr="002D0E62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多个服务之间的通讯</w:t>
      </w:r>
    </w:p>
    <w:p w14:paraId="2849F1F0" w14:textId="14F1EDBA" w:rsidR="00DE3282" w:rsidRPr="00DE3282" w:rsidRDefault="00DE3282" w:rsidP="00FA42C6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 w:rsidRPr="00DE3282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Cloud和SpringBoot版本对应关系</w:t>
      </w:r>
    </w:p>
    <w:tbl>
      <w:tblPr>
        <w:tblW w:w="0" w:type="auto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3025"/>
      </w:tblGrid>
      <w:tr w:rsidR="00DE3282" w:rsidRPr="00DE3282" w14:paraId="199337AE" w14:textId="77777777" w:rsidTr="00DE3282">
        <w:trPr>
          <w:trHeight w:val="708"/>
        </w:trPr>
        <w:tc>
          <w:tcPr>
            <w:tcW w:w="2461" w:type="dxa"/>
          </w:tcPr>
          <w:p w14:paraId="37D34992" w14:textId="77777777" w:rsidR="00DE3282" w:rsidRPr="00DE3282" w:rsidRDefault="00DE3282" w:rsidP="00DE3282">
            <w:pPr>
              <w:autoSpaceDE w:val="0"/>
              <w:autoSpaceDN w:val="0"/>
              <w:spacing w:before="14" w:line="177" w:lineRule="auto"/>
              <w:ind w:left="20" w:right="298"/>
              <w:jc w:val="left"/>
              <w:rPr>
                <w:rFonts w:ascii="微软雅黑" w:eastAsia="微软雅黑" w:hAnsi="微软雅黑" w:cs="微软雅黑" w:hint="eastAsia"/>
                <w:b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b/>
                <w:color w:val="4F4F4F"/>
                <w:kern w:val="0"/>
                <w:lang w:eastAsia="en-US" w:bidi="en-US"/>
              </w:rPr>
              <w:lastRenderedPageBreak/>
              <w:t>Spring Cloud</w:t>
            </w:r>
          </w:p>
          <w:p w14:paraId="3FBA4785" w14:textId="77777777" w:rsidR="00DE3282" w:rsidRPr="00DE3282" w:rsidRDefault="00DE3282" w:rsidP="00DE3282">
            <w:pPr>
              <w:autoSpaceDE w:val="0"/>
              <w:autoSpaceDN w:val="0"/>
              <w:spacing w:line="274" w:lineRule="exact"/>
              <w:ind w:left="20"/>
              <w:jc w:val="left"/>
              <w:rPr>
                <w:rFonts w:ascii="微软雅黑" w:eastAsia="微软雅黑" w:hAnsi="微软雅黑" w:cs="微软雅黑" w:hint="eastAsia"/>
                <w:b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b/>
                <w:color w:val="4F4F4F"/>
                <w:kern w:val="0"/>
                <w:lang w:eastAsia="en-US" w:bidi="en-US"/>
              </w:rPr>
              <w:t>Version</w:t>
            </w:r>
          </w:p>
        </w:tc>
        <w:tc>
          <w:tcPr>
            <w:tcW w:w="3025" w:type="dxa"/>
          </w:tcPr>
          <w:p w14:paraId="68569F37" w14:textId="34EBE8BD" w:rsidR="00DE3282" w:rsidRPr="00DE3282" w:rsidRDefault="00DE3282" w:rsidP="00DE3282">
            <w:pPr>
              <w:autoSpaceDE w:val="0"/>
              <w:autoSpaceDN w:val="0"/>
              <w:spacing w:before="14" w:line="177" w:lineRule="auto"/>
              <w:ind w:left="19" w:right="17"/>
              <w:jc w:val="left"/>
              <w:rPr>
                <w:rFonts w:ascii="微软雅黑" w:eastAsia="微软雅黑" w:hAnsi="微软雅黑" w:cs="微软雅黑" w:hint="eastAsia"/>
                <w:b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b/>
                <w:color w:val="4F4F4F"/>
                <w:kern w:val="0"/>
                <w:lang w:eastAsia="en-US" w:bidi="en-US"/>
              </w:rPr>
              <w:t>SpringBoot</w:t>
            </w:r>
          </w:p>
          <w:p w14:paraId="5E270261" w14:textId="77777777" w:rsidR="00DE3282" w:rsidRPr="00DE3282" w:rsidRDefault="00DE3282" w:rsidP="00DE3282">
            <w:pPr>
              <w:autoSpaceDE w:val="0"/>
              <w:autoSpaceDN w:val="0"/>
              <w:spacing w:line="274" w:lineRule="exact"/>
              <w:ind w:left="19"/>
              <w:jc w:val="left"/>
              <w:rPr>
                <w:rFonts w:ascii="微软雅黑" w:eastAsia="微软雅黑" w:hAnsi="微软雅黑" w:cs="微软雅黑" w:hint="eastAsia"/>
                <w:b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b/>
                <w:color w:val="4F4F4F"/>
                <w:kern w:val="0"/>
                <w:lang w:eastAsia="en-US" w:bidi="en-US"/>
              </w:rPr>
              <w:t>Version</w:t>
            </w:r>
          </w:p>
        </w:tc>
      </w:tr>
      <w:tr w:rsidR="00DE3282" w:rsidRPr="00DE3282" w14:paraId="3F13A4F9" w14:textId="77777777" w:rsidTr="00DE3282">
        <w:trPr>
          <w:trHeight w:val="466"/>
        </w:trPr>
        <w:tc>
          <w:tcPr>
            <w:tcW w:w="2461" w:type="dxa"/>
          </w:tcPr>
          <w:p w14:paraId="3FCBCC07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20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Hoxton</w:t>
            </w:r>
          </w:p>
        </w:tc>
        <w:tc>
          <w:tcPr>
            <w:tcW w:w="3025" w:type="dxa"/>
          </w:tcPr>
          <w:p w14:paraId="085EFCC4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19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2.2.x</w:t>
            </w:r>
          </w:p>
        </w:tc>
      </w:tr>
      <w:tr w:rsidR="00DE3282" w:rsidRPr="00DE3282" w14:paraId="2DBA679F" w14:textId="77777777" w:rsidTr="00DE3282">
        <w:trPr>
          <w:trHeight w:val="479"/>
        </w:trPr>
        <w:tc>
          <w:tcPr>
            <w:tcW w:w="2461" w:type="dxa"/>
          </w:tcPr>
          <w:p w14:paraId="28AD6BE9" w14:textId="77777777" w:rsidR="00251CC0" w:rsidRDefault="00251CC0" w:rsidP="00DE3282">
            <w:pPr>
              <w:autoSpaceDE w:val="0"/>
              <w:autoSpaceDN w:val="0"/>
              <w:spacing w:line="278" w:lineRule="exact"/>
              <w:ind w:left="20"/>
              <w:jc w:val="left"/>
              <w:rPr>
                <w:rFonts w:ascii="微软雅黑" w:eastAsia="微软雅黑" w:hAnsi="微软雅黑" w:cs="微软雅黑" w:hint="eastAsia"/>
                <w:color w:val="4F4F4F"/>
                <w:kern w:val="0"/>
                <w:lang w:eastAsia="en-US" w:bidi="en-US"/>
              </w:rPr>
            </w:pPr>
          </w:p>
          <w:p w14:paraId="514F584E" w14:textId="2F81FC01" w:rsidR="00DE3282" w:rsidRPr="00DE3282" w:rsidRDefault="00DE3282" w:rsidP="00DE3282">
            <w:pPr>
              <w:autoSpaceDE w:val="0"/>
              <w:autoSpaceDN w:val="0"/>
              <w:spacing w:line="278" w:lineRule="exact"/>
              <w:ind w:left="20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Greenwich</w:t>
            </w:r>
          </w:p>
        </w:tc>
        <w:tc>
          <w:tcPr>
            <w:tcW w:w="3025" w:type="dxa"/>
          </w:tcPr>
          <w:p w14:paraId="6BFB961B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19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2.1.x</w:t>
            </w:r>
          </w:p>
        </w:tc>
      </w:tr>
      <w:tr w:rsidR="00DE3282" w:rsidRPr="00DE3282" w14:paraId="71497896" w14:textId="77777777" w:rsidTr="00DE3282">
        <w:trPr>
          <w:trHeight w:val="466"/>
        </w:trPr>
        <w:tc>
          <w:tcPr>
            <w:tcW w:w="2461" w:type="dxa"/>
          </w:tcPr>
          <w:p w14:paraId="6326021F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20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Finchley</w:t>
            </w:r>
          </w:p>
        </w:tc>
        <w:tc>
          <w:tcPr>
            <w:tcW w:w="3025" w:type="dxa"/>
          </w:tcPr>
          <w:p w14:paraId="442C446A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19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2.0.x</w:t>
            </w:r>
          </w:p>
        </w:tc>
      </w:tr>
      <w:tr w:rsidR="00DE3282" w:rsidRPr="00DE3282" w14:paraId="1C876BA5" w14:textId="77777777" w:rsidTr="00DE3282">
        <w:trPr>
          <w:trHeight w:val="466"/>
        </w:trPr>
        <w:tc>
          <w:tcPr>
            <w:tcW w:w="2461" w:type="dxa"/>
          </w:tcPr>
          <w:p w14:paraId="2AA409C8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20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Edgware</w:t>
            </w:r>
          </w:p>
        </w:tc>
        <w:tc>
          <w:tcPr>
            <w:tcW w:w="3025" w:type="dxa"/>
          </w:tcPr>
          <w:p w14:paraId="7217F7B9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19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1.5.x</w:t>
            </w:r>
          </w:p>
        </w:tc>
      </w:tr>
      <w:tr w:rsidR="00DE3282" w:rsidRPr="00DE3282" w14:paraId="70FBB5B5" w14:textId="77777777" w:rsidTr="00DE3282">
        <w:trPr>
          <w:trHeight w:val="466"/>
        </w:trPr>
        <w:tc>
          <w:tcPr>
            <w:tcW w:w="2461" w:type="dxa"/>
          </w:tcPr>
          <w:p w14:paraId="1239611A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20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Dalston</w:t>
            </w:r>
          </w:p>
        </w:tc>
        <w:tc>
          <w:tcPr>
            <w:tcW w:w="3025" w:type="dxa"/>
          </w:tcPr>
          <w:p w14:paraId="3E4ED2D9" w14:textId="77777777" w:rsidR="00DE3282" w:rsidRPr="00DE3282" w:rsidRDefault="00DE3282" w:rsidP="00DE3282">
            <w:pPr>
              <w:autoSpaceDE w:val="0"/>
              <w:autoSpaceDN w:val="0"/>
              <w:spacing w:before="77"/>
              <w:ind w:left="19"/>
              <w:jc w:val="left"/>
              <w:rPr>
                <w:rFonts w:ascii="微软雅黑" w:eastAsia="微软雅黑" w:hAnsi="微软雅黑" w:cs="微软雅黑" w:hint="eastAsia"/>
                <w:kern w:val="0"/>
                <w:lang w:eastAsia="en-US" w:bidi="en-US"/>
              </w:rPr>
            </w:pPr>
            <w:r w:rsidRPr="00DE3282">
              <w:rPr>
                <w:rFonts w:ascii="微软雅黑" w:eastAsia="微软雅黑" w:hAnsi="微软雅黑" w:cs="微软雅黑"/>
                <w:color w:val="4F4F4F"/>
                <w:kern w:val="0"/>
                <w:lang w:eastAsia="en-US" w:bidi="en-US"/>
              </w:rPr>
              <w:t>1.5.x</w:t>
            </w:r>
          </w:p>
        </w:tc>
      </w:tr>
    </w:tbl>
    <w:p w14:paraId="1EE3E3A1" w14:textId="1EADBF8C" w:rsidR="00BA6645" w:rsidRPr="00F05D43" w:rsidRDefault="00BA6645" w:rsidP="00BA6645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BA6645"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SpringBoot和SpringCloud的区别？</w:t>
      </w:r>
    </w:p>
    <w:p w14:paraId="13A760BB" w14:textId="144FFA90" w:rsidR="00C65ECF" w:rsidRPr="00C65ECF" w:rsidRDefault="00C65ECF" w:rsidP="00C65ECF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C65ECF">
        <w:rPr>
          <w:rFonts w:ascii="Microsoft YaHei UI" w:eastAsia="Microsoft YaHei UI" w:hAnsi="Microsoft YaHei UI" w:cs="宋体"/>
          <w:kern w:val="0"/>
          <w:sz w:val="24"/>
          <w:szCs w:val="24"/>
        </w:rPr>
        <w:t>SpringBoot可以离开SpringCloud独立使用，SpringCloud离不开SpringBoot</w:t>
      </w:r>
    </w:p>
    <w:p w14:paraId="23AB0C0F" w14:textId="68025C36" w:rsidR="00AA725C" w:rsidRDefault="00C65ECF" w:rsidP="00FA42C6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C65ECF">
        <w:rPr>
          <w:rFonts w:ascii="Microsoft YaHei UI" w:eastAsia="Microsoft YaHei UI" w:hAnsi="Microsoft YaHei UI" w:cs="宋体"/>
          <w:kern w:val="0"/>
          <w:sz w:val="24"/>
          <w:szCs w:val="24"/>
        </w:rPr>
        <w:t>SpringBoot专注于快速、方便的开发单个微服务个体，SpringCloud关注全局的服务治理框架。</w:t>
      </w:r>
    </w:p>
    <w:p w14:paraId="07666425" w14:textId="77777777" w:rsidR="009121F5" w:rsidRPr="004A75A6" w:rsidRDefault="009121F5" w:rsidP="009121F5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 w:eastAsia="hr"/>
        </w:rPr>
      </w:pPr>
      <w: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微服务</w:t>
      </w:r>
    </w:p>
    <w:p w14:paraId="2F69C2E4" w14:textId="27802D97" w:rsidR="009121F5" w:rsidRPr="00DB1E8A" w:rsidRDefault="009121F5" w:rsidP="00434C40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DB1E8A">
        <w:rPr>
          <w:rFonts w:ascii="Microsoft YaHei UI" w:eastAsia="Microsoft YaHei UI" w:hAnsi="Microsoft YaHei UI" w:hint="eastAsia"/>
          <w:color w:val="FF0000"/>
        </w:rPr>
        <w:t>微服务是一种分布式架构方案，</w:t>
      </w:r>
      <w:r w:rsidR="00434C40" w:rsidRPr="00DB1E8A">
        <w:rPr>
          <w:rFonts w:ascii="Microsoft YaHei UI" w:eastAsia="Microsoft YaHei UI" w:hAnsi="Microsoft YaHei UI" w:hint="eastAsia"/>
          <w:color w:val="FF0000"/>
        </w:rPr>
        <w:t>微服务按业务边界划分，高内聚低耦合</w:t>
      </w:r>
      <w:r w:rsidR="00434C40" w:rsidRPr="00DB1E8A">
        <w:rPr>
          <w:rStyle w:val="a3"/>
          <w:rFonts w:ascii="Microsoft YaHei UI" w:eastAsia="Microsoft YaHei UI" w:hAnsi="Microsoft YaHei UI" w:hint="eastAsia"/>
          <w:b w:val="0"/>
          <w:bCs w:val="0"/>
          <w:color w:val="FF0000"/>
        </w:rPr>
        <w:t>。</w:t>
      </w:r>
      <w:r w:rsidR="002D59FD" w:rsidRPr="00DB1E8A">
        <w:rPr>
          <w:rFonts w:ascii="Microsoft YaHei UI" w:eastAsia="Microsoft YaHei UI" w:hAnsi="Microsoft YaHei UI" w:hint="eastAsia"/>
          <w:color w:val="FF0000"/>
        </w:rPr>
        <w:t>单一职责，每一个服务都对应唯一的业务能力</w:t>
      </w:r>
      <w:r w:rsidR="00C8314B" w:rsidRPr="00DB1E8A">
        <w:rPr>
          <w:rFonts w:ascii="Microsoft YaHei UI" w:eastAsia="Microsoft YaHei UI" w:hAnsi="Microsoft YaHei UI" w:hint="eastAsia"/>
          <w:color w:val="FF0000"/>
        </w:rPr>
        <w:t>，面向服务，微服务对外暴露业务接口</w:t>
      </w:r>
      <w:r w:rsidR="000E16A1" w:rsidRPr="00DB1E8A">
        <w:rPr>
          <w:rFonts w:ascii="Microsoft YaHei UI" w:eastAsia="Microsoft YaHei UI" w:hAnsi="Microsoft YaHei UI" w:hint="eastAsia"/>
          <w:color w:val="FF0000"/>
        </w:rPr>
        <w:t>。各个服务独立自治，隔离性强。</w:t>
      </w:r>
    </w:p>
    <w:p w14:paraId="447E5E07" w14:textId="3E100598" w:rsidR="00EA45BC" w:rsidRDefault="00EA45BC" w:rsidP="00EA45BC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E0720E">
        <w:rPr>
          <w:rFonts w:ascii="Microsoft YaHei UI" w:eastAsia="Microsoft YaHei UI" w:hAnsi="Microsoft YaHei UI"/>
        </w:rPr>
        <w:t>Spring Cloud是一个微服务框架</w:t>
      </w:r>
      <w:r>
        <w:rPr>
          <w:rFonts w:ascii="Microsoft YaHei UI" w:eastAsia="Microsoft YaHei UI" w:hAnsi="Microsoft YaHei UI" w:hint="eastAsia"/>
        </w:rPr>
        <w:t>，集成了各种功能组件，包括服务注册发现、统一配置管理、服务远程调用、统一网关路由</w:t>
      </w:r>
      <w:r w:rsidR="009A354D">
        <w:rPr>
          <w:rFonts w:ascii="Microsoft YaHei UI" w:eastAsia="Microsoft YaHei UI" w:hAnsi="Microsoft YaHei UI" w:hint="eastAsia"/>
        </w:rPr>
        <w:t>、</w:t>
      </w:r>
      <w:r w:rsidR="009A354D" w:rsidRPr="00CD691D">
        <w:rPr>
          <w:rFonts w:ascii="Microsoft YaHei UI" w:eastAsia="Microsoft YaHei UI" w:hAnsi="Microsoft YaHei UI" w:hint="eastAsia"/>
        </w:rPr>
        <w:t>服务熔断</w:t>
      </w:r>
      <w:r w:rsidR="009A354D">
        <w:rPr>
          <w:rFonts w:ascii="Microsoft YaHei UI" w:eastAsia="Microsoft YaHei UI" w:hAnsi="Microsoft YaHei UI" w:hint="eastAsia"/>
        </w:rPr>
        <w:t>降级</w:t>
      </w:r>
      <w:r>
        <w:rPr>
          <w:rFonts w:ascii="Microsoft YaHei UI" w:eastAsia="Microsoft YaHei UI" w:hAnsi="Microsoft YaHei UI" w:hint="eastAsia"/>
        </w:rPr>
        <w:t>等等</w:t>
      </w:r>
    </w:p>
    <w:p w14:paraId="67E2C30E" w14:textId="0BBEC749" w:rsidR="00790133" w:rsidRPr="00F05D43" w:rsidRDefault="00532057" w:rsidP="00790133">
      <w:pP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3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N</w:t>
      </w:r>
      <w:r w:rsidR="00790133"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acos</w:t>
      </w: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自动刷新配置</w:t>
      </w:r>
    </w:p>
    <w:p w14:paraId="306D96B5" w14:textId="2D5566F5" w:rsidR="00F72394" w:rsidRPr="00FF0B34" w:rsidRDefault="00532057" w:rsidP="00FF0B34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532057">
        <w:rPr>
          <w:rFonts w:ascii="Microsoft YaHei UI" w:eastAsia="Microsoft YaHei UI" w:hAnsi="Microsoft YaHei UI"/>
        </w:rPr>
        <w:t xml:space="preserve"> @RefreshScope注解</w:t>
      </w:r>
    </w:p>
    <w:p w14:paraId="4368D30C" w14:textId="7E94E04B" w:rsidR="00F72394" w:rsidRPr="004A75A6" w:rsidRDefault="00F72394" w:rsidP="00F72394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 w:eastAsia="hr"/>
        </w:rPr>
      </w:pPr>
      <w: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微服务架构原理</w:t>
      </w:r>
    </w:p>
    <w:p w14:paraId="48B745C3" w14:textId="754799B9" w:rsidR="00244BA0" w:rsidRDefault="00F72394" w:rsidP="00244BA0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更细小粒度服务的拆分，将功能分解到各个服务当中，从而降低系统的耦合性，提供更加灵活的服务支持</w:t>
      </w:r>
    </w:p>
    <w:p w14:paraId="0174DD4C" w14:textId="5D55602B" w:rsidR="005772F5" w:rsidRPr="004A75A6" w:rsidRDefault="005772F5" w:rsidP="005772F5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 w:eastAsia="hr"/>
        </w:rPr>
      </w:pPr>
      <w: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各个组件的作用</w:t>
      </w:r>
    </w:p>
    <w:p w14:paraId="7008175A" w14:textId="61121E4A" w:rsidR="005772F5" w:rsidRPr="00956425" w:rsidRDefault="00955B55" w:rsidP="005772F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956425">
        <w:rPr>
          <w:rFonts w:ascii="Microsoft YaHei UI" w:eastAsia="Microsoft YaHei UI" w:hAnsi="Microsoft YaHei UI"/>
          <w:color w:val="FF0000"/>
        </w:rPr>
        <w:t>Eureka</w:t>
      </w:r>
      <w:r w:rsidR="00012371" w:rsidRPr="00956425">
        <w:rPr>
          <w:rFonts w:ascii="Microsoft YaHei UI" w:eastAsia="Microsoft YaHei UI" w:hAnsi="Microsoft YaHei UI" w:hint="eastAsia"/>
          <w:color w:val="FF0000"/>
        </w:rPr>
        <w:t>微</w:t>
      </w:r>
      <w:r w:rsidR="00F94FEE" w:rsidRPr="00956425">
        <w:rPr>
          <w:rFonts w:ascii="Microsoft YaHei UI" w:eastAsia="Microsoft YaHei UI" w:hAnsi="Microsoft YaHei UI"/>
          <w:color w:val="FF0000"/>
        </w:rPr>
        <w:t>服务的注册与发现</w:t>
      </w:r>
      <w:r w:rsidR="002946F8" w:rsidRPr="00956425">
        <w:rPr>
          <w:rFonts w:ascii="Microsoft YaHei UI" w:eastAsia="Microsoft YaHei UI" w:hAnsi="Microsoft YaHei UI" w:hint="eastAsia"/>
          <w:color w:val="FF0000"/>
        </w:rPr>
        <w:t>，用于定位服务</w:t>
      </w:r>
    </w:p>
    <w:p w14:paraId="64F7F54E" w14:textId="3DA499FF" w:rsidR="002D6CF9" w:rsidRPr="00956425" w:rsidRDefault="002D6CF9" w:rsidP="005772F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956425">
        <w:rPr>
          <w:rFonts w:ascii="Microsoft YaHei UI" w:eastAsia="Microsoft YaHei UI" w:hAnsi="Microsoft YaHei UI"/>
          <w:color w:val="FF0000"/>
        </w:rPr>
        <w:t>N</w:t>
      </w:r>
      <w:r w:rsidRPr="00956425">
        <w:rPr>
          <w:rFonts w:ascii="Microsoft YaHei UI" w:eastAsia="Microsoft YaHei UI" w:hAnsi="Microsoft YaHei UI" w:hint="eastAsia"/>
          <w:color w:val="FF0000"/>
        </w:rPr>
        <w:t>acos，配置中心，统一管理配置、动态更新不重启</w:t>
      </w:r>
    </w:p>
    <w:p w14:paraId="4D6D7275" w14:textId="08975563" w:rsidR="00955B55" w:rsidRPr="00956425" w:rsidRDefault="00955B55" w:rsidP="005772F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956425">
        <w:rPr>
          <w:rFonts w:ascii="Microsoft YaHei UI" w:eastAsia="Microsoft YaHei UI" w:hAnsi="Microsoft YaHei UI"/>
          <w:color w:val="FF0000"/>
        </w:rPr>
        <w:t>Ribbon：负载均衡</w:t>
      </w:r>
      <w:r w:rsidR="003D4896" w:rsidRPr="00956425">
        <w:rPr>
          <w:rFonts w:ascii="Microsoft YaHei UI" w:eastAsia="Microsoft YaHei UI" w:hAnsi="Microsoft YaHei UI" w:hint="eastAsia"/>
          <w:color w:val="FF0000"/>
        </w:rPr>
        <w:t>。</w:t>
      </w:r>
      <w:r w:rsidR="006A3429" w:rsidRPr="00956425">
        <w:rPr>
          <w:rFonts w:ascii="Microsoft YaHei UI" w:eastAsia="Microsoft YaHei UI" w:hAnsi="Microsoft YaHei UI" w:hint="eastAsia"/>
          <w:color w:val="FF0000"/>
        </w:rPr>
        <w:t>从多个服务实例中挑一个访问，</w:t>
      </w:r>
      <w:r w:rsidR="003D4896" w:rsidRPr="00956425">
        <w:rPr>
          <w:rFonts w:ascii="Microsoft YaHei UI" w:eastAsia="Microsoft YaHei UI" w:hAnsi="Microsoft YaHei UI" w:hint="eastAsia"/>
          <w:color w:val="FF0000"/>
        </w:rPr>
        <w:t>负载均衡算法，例如轮询、随机等</w:t>
      </w:r>
    </w:p>
    <w:p w14:paraId="7EEC5542" w14:textId="6647830C" w:rsidR="00955B55" w:rsidRPr="00956425" w:rsidRDefault="00955B55" w:rsidP="005772F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956425">
        <w:rPr>
          <w:rFonts w:ascii="Microsoft YaHei UI" w:eastAsia="Microsoft YaHei UI" w:hAnsi="Microsoft YaHei UI"/>
          <w:color w:val="FF0000"/>
        </w:rPr>
        <w:t>Feign</w:t>
      </w:r>
      <w:r w:rsidR="00C63B17" w:rsidRPr="00956425">
        <w:rPr>
          <w:rFonts w:ascii="Microsoft YaHei UI" w:eastAsia="Microsoft YaHei UI" w:hAnsi="Microsoft YaHei UI" w:hint="eastAsia"/>
          <w:color w:val="FF0000"/>
        </w:rPr>
        <w:t>，微服务之间进行远程调用</w:t>
      </w:r>
      <w:r w:rsidR="00F8542C" w:rsidRPr="00956425">
        <w:rPr>
          <w:rFonts w:ascii="Microsoft YaHei UI" w:eastAsia="Microsoft YaHei UI" w:hAnsi="Microsoft YaHei UI" w:hint="eastAsia"/>
          <w:color w:val="FF0000"/>
        </w:rPr>
        <w:t xml:space="preserve"> </w:t>
      </w:r>
    </w:p>
    <w:p w14:paraId="701A3D87" w14:textId="3503E3D9" w:rsidR="003D4896" w:rsidRPr="00956425" w:rsidRDefault="00B06869" w:rsidP="005772F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956425">
        <w:rPr>
          <w:rFonts w:ascii="Microsoft YaHei UI" w:eastAsia="Microsoft YaHei UI" w:hAnsi="Microsoft YaHei UI"/>
          <w:color w:val="FF0000"/>
        </w:rPr>
        <w:t>G</w:t>
      </w:r>
      <w:r w:rsidRPr="00956425">
        <w:rPr>
          <w:rFonts w:ascii="Microsoft YaHei UI" w:eastAsia="Microsoft YaHei UI" w:hAnsi="Microsoft YaHei UI" w:hint="eastAsia"/>
          <w:color w:val="FF0000"/>
        </w:rPr>
        <w:t>ateway，</w:t>
      </w:r>
      <w:r w:rsidR="00BD1865" w:rsidRPr="00956425">
        <w:rPr>
          <w:rFonts w:ascii="Microsoft YaHei UI" w:eastAsia="Microsoft YaHei UI" w:hAnsi="Microsoft YaHei UI" w:hint="eastAsia"/>
          <w:color w:val="FF0000"/>
        </w:rPr>
        <w:t>微服务</w:t>
      </w:r>
      <w:r w:rsidR="006C4FC7" w:rsidRPr="00956425">
        <w:rPr>
          <w:rFonts w:ascii="Microsoft YaHei UI" w:eastAsia="Microsoft YaHei UI" w:hAnsi="Microsoft YaHei UI" w:hint="eastAsia"/>
          <w:color w:val="FF0000"/>
        </w:rPr>
        <w:t>路由，</w:t>
      </w:r>
      <w:r w:rsidR="00750851" w:rsidRPr="00956425">
        <w:rPr>
          <w:rFonts w:ascii="Microsoft YaHei UI" w:eastAsia="Microsoft YaHei UI" w:hAnsi="Microsoft YaHei UI" w:hint="eastAsia"/>
          <w:color w:val="FF0000"/>
        </w:rPr>
        <w:t>用于身份认证</w:t>
      </w:r>
      <w:r w:rsidR="00D15EE6" w:rsidRPr="00956425">
        <w:rPr>
          <w:rFonts w:ascii="Microsoft YaHei UI" w:eastAsia="Microsoft YaHei UI" w:hAnsi="Microsoft YaHei UI" w:hint="eastAsia"/>
          <w:color w:val="FF0000"/>
        </w:rPr>
        <w:t>、</w:t>
      </w:r>
      <w:r w:rsidR="00750851" w:rsidRPr="00956425">
        <w:rPr>
          <w:rFonts w:ascii="Microsoft YaHei UI" w:eastAsia="Microsoft YaHei UI" w:hAnsi="Microsoft YaHei UI" w:hint="eastAsia"/>
          <w:color w:val="FF0000"/>
        </w:rPr>
        <w:t>权限校验</w:t>
      </w:r>
      <w:r w:rsidR="00D15EE6" w:rsidRPr="00956425">
        <w:rPr>
          <w:rFonts w:ascii="Microsoft YaHei UI" w:eastAsia="Microsoft YaHei UI" w:hAnsi="Microsoft YaHei UI" w:hint="eastAsia"/>
          <w:color w:val="FF0000"/>
        </w:rPr>
        <w:t>、请求限流</w:t>
      </w:r>
    </w:p>
    <w:p w14:paraId="6827F6DF" w14:textId="5F0E597D" w:rsidR="002D6CF9" w:rsidRPr="00956425" w:rsidRDefault="002D6CF9" w:rsidP="007F132A">
      <w:pPr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</w:pPr>
      <w:r w:rsidRPr="00956425">
        <w:rPr>
          <w:rFonts w:ascii="Microsoft YaHei UI" w:eastAsia="Microsoft YaHei UI" w:hAnsi="Microsoft YaHei UI" w:cs="宋体"/>
          <w:color w:val="FF0000"/>
          <w:kern w:val="0"/>
          <w:sz w:val="24"/>
          <w:szCs w:val="24"/>
        </w:rPr>
        <w:t>Hystrix</w:t>
      </w:r>
      <w:r w:rsidRPr="00956425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，微服务熔断，当依赖的服务出现故障时，能够快速失败并返回一个备选的响应</w:t>
      </w:r>
    </w:p>
    <w:p w14:paraId="6638186A" w14:textId="1ED7522B" w:rsidR="00DD501D" w:rsidRPr="004A75A6" w:rsidRDefault="00DD501D" w:rsidP="00DD501D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 w:eastAsia="hr"/>
        </w:rPr>
      </w:pPr>
      <w: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nacos配置文件加载顺序</w:t>
      </w:r>
    </w:p>
    <w:p w14:paraId="76E910D8" w14:textId="4250F317" w:rsidR="00DD501D" w:rsidRDefault="00DD501D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DD501D">
        <w:rPr>
          <w:rFonts w:ascii="Microsoft YaHei UI" w:eastAsia="Microsoft YaHei UI" w:hAnsi="Microsoft YaHei UI"/>
        </w:rPr>
        <w:t>bootstrap</w:t>
      </w:r>
      <w:r w:rsidRPr="00DD501D">
        <w:rPr>
          <w:rFonts w:ascii="Microsoft YaHei UI" w:eastAsia="Microsoft YaHei UI" w:hAnsi="Microsoft YaHei UI"/>
          <w:lang w:val="hr"/>
        </w:rPr>
        <w:t>.</w:t>
      </w:r>
      <w:r w:rsidRPr="00DD501D">
        <w:rPr>
          <w:rFonts w:ascii="Microsoft YaHei UI" w:eastAsia="Microsoft YaHei UI" w:hAnsi="Microsoft YaHei UI"/>
        </w:rPr>
        <w:t>yml</w:t>
      </w:r>
      <w:r w:rsidRPr="00DD501D">
        <w:rPr>
          <w:rFonts w:ascii="Microsoft YaHei UI" w:eastAsia="Microsoft YaHei UI" w:hAnsi="Microsoft YaHei UI"/>
          <w:lang w:val="hr"/>
        </w:rPr>
        <w:t xml:space="preserve"> &gt; </w:t>
      </w:r>
      <w:r w:rsidRPr="00DD501D">
        <w:rPr>
          <w:rFonts w:ascii="Microsoft YaHei UI" w:eastAsia="Microsoft YaHei UI" w:hAnsi="Microsoft YaHei UI"/>
        </w:rPr>
        <w:t>application</w:t>
      </w:r>
      <w:r w:rsidRPr="00DD501D">
        <w:rPr>
          <w:rFonts w:ascii="Microsoft YaHei UI" w:eastAsia="Microsoft YaHei UI" w:hAnsi="Microsoft YaHei UI"/>
          <w:lang w:val="hr"/>
        </w:rPr>
        <w:t>.</w:t>
      </w:r>
      <w:r w:rsidRPr="00DD501D">
        <w:rPr>
          <w:rFonts w:ascii="Microsoft YaHei UI" w:eastAsia="Microsoft YaHei UI" w:hAnsi="Microsoft YaHei UI"/>
        </w:rPr>
        <w:t>yml</w:t>
      </w:r>
      <w:r w:rsidRPr="00DD501D">
        <w:rPr>
          <w:rFonts w:ascii="Microsoft YaHei UI" w:eastAsia="Microsoft YaHei UI" w:hAnsi="Microsoft YaHei UI"/>
          <w:lang w:val="hr"/>
        </w:rPr>
        <w:t xml:space="preserve"> &gt; </w:t>
      </w:r>
      <w:r w:rsidRPr="00DD501D">
        <w:rPr>
          <w:rFonts w:ascii="Microsoft YaHei UI" w:eastAsia="Microsoft YaHei UI" w:hAnsi="Microsoft YaHei UI"/>
        </w:rPr>
        <w:t>application</w:t>
      </w:r>
      <w:r w:rsidRPr="00DD501D">
        <w:rPr>
          <w:rFonts w:ascii="Microsoft YaHei UI" w:eastAsia="Microsoft YaHei UI" w:hAnsi="Microsoft YaHei UI"/>
          <w:lang w:val="hr"/>
        </w:rPr>
        <w:t>-</w:t>
      </w:r>
      <w:r w:rsidRPr="00DD501D">
        <w:rPr>
          <w:rFonts w:ascii="Microsoft YaHei UI" w:eastAsia="Microsoft YaHei UI" w:hAnsi="Microsoft YaHei UI"/>
        </w:rPr>
        <w:t>dev</w:t>
      </w:r>
      <w:r w:rsidRPr="00DD501D">
        <w:rPr>
          <w:rFonts w:ascii="Microsoft YaHei UI" w:eastAsia="Microsoft YaHei UI" w:hAnsi="Microsoft YaHei UI"/>
          <w:lang w:val="hr"/>
        </w:rPr>
        <w:t>.</w:t>
      </w:r>
      <w:r w:rsidRPr="00DD501D">
        <w:rPr>
          <w:rFonts w:ascii="Microsoft YaHei UI" w:eastAsia="Microsoft YaHei UI" w:hAnsi="Microsoft YaHei UI"/>
        </w:rPr>
        <w:t>yml</w:t>
      </w:r>
      <w:r w:rsidRPr="00DD501D">
        <w:rPr>
          <w:rFonts w:ascii="Microsoft YaHei UI" w:eastAsia="Microsoft YaHei UI" w:hAnsi="Microsoft YaHei UI"/>
          <w:lang w:val="hr"/>
        </w:rPr>
        <w:t xml:space="preserve"> &gt; </w:t>
      </w:r>
      <w:r w:rsidRPr="00DD501D">
        <w:rPr>
          <w:rFonts w:ascii="Microsoft YaHei UI" w:eastAsia="Microsoft YaHei UI" w:hAnsi="Microsoft YaHei UI"/>
        </w:rPr>
        <w:t>nacos</w:t>
      </w:r>
      <w:r w:rsidRPr="00DD501D">
        <w:rPr>
          <w:rFonts w:ascii="Microsoft YaHei UI" w:eastAsia="Microsoft YaHei UI" w:hAnsi="Microsoft YaHei UI"/>
          <w:lang w:val="hr"/>
        </w:rPr>
        <w:t>-</w:t>
      </w:r>
      <w:r w:rsidRPr="00DD501D">
        <w:rPr>
          <w:rFonts w:ascii="Microsoft YaHei UI" w:eastAsia="Microsoft YaHei UI" w:hAnsi="Microsoft YaHei UI"/>
        </w:rPr>
        <w:t>service</w:t>
      </w:r>
      <w:r w:rsidRPr="00DD501D">
        <w:rPr>
          <w:rFonts w:ascii="Microsoft YaHei UI" w:eastAsia="Microsoft YaHei UI" w:hAnsi="Microsoft YaHei UI"/>
          <w:lang w:val="hr"/>
        </w:rPr>
        <w:t>.</w:t>
      </w:r>
      <w:r w:rsidRPr="00DD501D">
        <w:rPr>
          <w:rFonts w:ascii="Microsoft YaHei UI" w:eastAsia="Microsoft YaHei UI" w:hAnsi="Microsoft YaHei UI"/>
        </w:rPr>
        <w:t>yaml</w:t>
      </w:r>
      <w:r w:rsidRPr="00DD501D">
        <w:rPr>
          <w:rFonts w:ascii="Microsoft YaHei UI" w:eastAsia="Microsoft YaHei UI" w:hAnsi="Microsoft YaHei UI"/>
          <w:lang w:val="hr"/>
        </w:rPr>
        <w:t xml:space="preserve"> &gt; </w:t>
      </w:r>
      <w:r w:rsidRPr="00DD501D">
        <w:rPr>
          <w:rFonts w:ascii="Microsoft YaHei UI" w:eastAsia="Microsoft YaHei UI" w:hAnsi="Microsoft YaHei UI"/>
        </w:rPr>
        <w:t>nacos</w:t>
      </w:r>
      <w:r w:rsidRPr="00DD501D">
        <w:rPr>
          <w:rFonts w:ascii="Microsoft YaHei UI" w:eastAsia="Microsoft YaHei UI" w:hAnsi="Microsoft YaHei UI"/>
          <w:lang w:val="hr"/>
        </w:rPr>
        <w:t>-</w:t>
      </w:r>
      <w:r w:rsidRPr="00DD501D">
        <w:rPr>
          <w:rFonts w:ascii="Microsoft YaHei UI" w:eastAsia="Microsoft YaHei UI" w:hAnsi="Microsoft YaHei UI"/>
        </w:rPr>
        <w:t>service</w:t>
      </w:r>
      <w:r w:rsidRPr="00DD501D">
        <w:rPr>
          <w:rFonts w:ascii="Microsoft YaHei UI" w:eastAsia="Microsoft YaHei UI" w:hAnsi="Microsoft YaHei UI"/>
          <w:lang w:val="hr"/>
        </w:rPr>
        <w:t>-</w:t>
      </w:r>
      <w:r w:rsidRPr="00DD501D">
        <w:rPr>
          <w:rFonts w:ascii="Microsoft YaHei UI" w:eastAsia="Microsoft YaHei UI" w:hAnsi="Microsoft YaHei UI"/>
        </w:rPr>
        <w:t>dev</w:t>
      </w:r>
      <w:r w:rsidRPr="00DD501D">
        <w:rPr>
          <w:rFonts w:ascii="Microsoft YaHei UI" w:eastAsia="Microsoft YaHei UI" w:hAnsi="Microsoft YaHei UI"/>
          <w:lang w:val="hr"/>
        </w:rPr>
        <w:t>.</w:t>
      </w:r>
      <w:r w:rsidRPr="00DD501D">
        <w:rPr>
          <w:rFonts w:ascii="Microsoft YaHei UI" w:eastAsia="Microsoft YaHei UI" w:hAnsi="Microsoft YaHei UI"/>
        </w:rPr>
        <w:t>yaml</w:t>
      </w:r>
    </w:p>
    <w:p w14:paraId="0A7C1A3C" w14:textId="351A514C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 w:hint="eastAsia"/>
          <w:lang w:val="hr"/>
        </w:rPr>
        <w:t>本地</w:t>
      </w:r>
      <w:r w:rsidRPr="00CF2796">
        <w:rPr>
          <w:rFonts w:ascii="Microsoft YaHei UI" w:eastAsia="Microsoft YaHei UI" w:hAnsi="Microsoft YaHei UI"/>
          <w:lang w:val="hr"/>
        </w:rPr>
        <w:t>bootstrap.yml配置环境dev</w:t>
      </w:r>
    </w:p>
    <w:p w14:paraId="560728AB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>spring:</w:t>
      </w:r>
    </w:p>
    <w:p w14:paraId="6BAFFCCA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ab/>
        <w:t>profiles:</w:t>
      </w:r>
    </w:p>
    <w:p w14:paraId="5981B4F6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 xml:space="preserve">    </w:t>
      </w:r>
      <w:r w:rsidRPr="00CF2796">
        <w:rPr>
          <w:rFonts w:ascii="Microsoft YaHei UI" w:eastAsia="Microsoft YaHei UI" w:hAnsi="Microsoft YaHei UI"/>
          <w:lang w:val="hr"/>
        </w:rPr>
        <w:tab/>
        <w:t>active: dev</w:t>
      </w:r>
    </w:p>
    <w:p w14:paraId="187225FC" w14:textId="47F5A07A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 w:hint="eastAsia"/>
          <w:lang w:val="hr"/>
        </w:rPr>
        <w:t>本地配置文件</w:t>
      </w:r>
    </w:p>
    <w:p w14:paraId="6E27E7CC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>bootstrap.yml</w:t>
      </w:r>
    </w:p>
    <w:p w14:paraId="0BF4603E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>application.yml</w:t>
      </w:r>
    </w:p>
    <w:p w14:paraId="391CE9FD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 xml:space="preserve">application-dev.yml </w:t>
      </w:r>
    </w:p>
    <w:p w14:paraId="14074C0A" w14:textId="14778352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lastRenderedPageBreak/>
        <w:t>nacos配置文件</w:t>
      </w:r>
    </w:p>
    <w:p w14:paraId="76FCCEF5" w14:textId="77777777" w:rsidR="00CF2796" w:rsidRP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>nacos-service.yaml</w:t>
      </w:r>
    </w:p>
    <w:p w14:paraId="60DD50E2" w14:textId="262C81AD" w:rsidR="00CF2796" w:rsidRDefault="00CF2796" w:rsidP="00CF2796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CF2796">
        <w:rPr>
          <w:rFonts w:ascii="Microsoft YaHei UI" w:eastAsia="Microsoft YaHei UI" w:hAnsi="Microsoft YaHei UI"/>
          <w:lang w:val="hr"/>
        </w:rPr>
        <w:t>nacos-service-dev.yaml</w:t>
      </w:r>
    </w:p>
    <w:p w14:paraId="141D0155" w14:textId="52A38B03" w:rsidR="007F78F7" w:rsidRPr="004A75A6" w:rsidRDefault="007F78F7" w:rsidP="007F78F7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 w:eastAsia="hr"/>
        </w:rPr>
      </w:pPr>
      <w: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sentinel熔断配置</w:t>
      </w:r>
    </w:p>
    <w:p w14:paraId="3B7F0CDB" w14:textId="5C86DC52" w:rsidR="007F78F7" w:rsidRPr="00B1613A" w:rsidRDefault="00B44465" w:rsidP="00B444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 w:rsidRPr="00B1613A">
        <w:rPr>
          <w:rFonts w:ascii="Microsoft YaHei UI" w:eastAsia="Microsoft YaHei UI" w:hAnsi="Microsoft YaHei UI" w:hint="eastAsia"/>
          <w:color w:val="FF0000"/>
        </w:rPr>
        <w:t>修改yml文件，开启feign的sentinel功能</w:t>
      </w:r>
    </w:p>
    <w:p w14:paraId="149844AD" w14:textId="6F247355" w:rsidR="00B44465" w:rsidRPr="002D525A" w:rsidRDefault="00B44465" w:rsidP="00B444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>
        <w:rPr>
          <w:rFonts w:ascii="Microsoft YaHei UI" w:eastAsia="Microsoft YaHei UI" w:hAnsi="Microsoft YaHei UI" w:hint="eastAsia"/>
        </w:rPr>
        <w:t>给FeignClient编写失败后的降级逻辑</w:t>
      </w:r>
      <w:r w:rsidR="00A053FE">
        <w:rPr>
          <w:rFonts w:ascii="Microsoft YaHei UI" w:eastAsia="Microsoft YaHei UI" w:hAnsi="Microsoft YaHei UI" w:hint="eastAsia"/>
        </w:rPr>
        <w:t>，</w:t>
      </w:r>
      <w:r w:rsidR="008C49E0">
        <w:rPr>
          <w:rFonts w:ascii="Microsoft YaHei UI" w:eastAsia="Microsoft YaHei UI" w:hAnsi="Microsoft YaHei UI" w:hint="eastAsia"/>
          <w:color w:val="FF0000"/>
        </w:rPr>
        <w:t>定义类</w:t>
      </w:r>
      <w:r w:rsidR="00A053FE" w:rsidRPr="00B1613A">
        <w:rPr>
          <w:rFonts w:ascii="Microsoft YaHei UI" w:eastAsia="Microsoft YaHei UI" w:hAnsi="Microsoft YaHei UI" w:hint="eastAsia"/>
          <w:color w:val="FF0000"/>
        </w:rPr>
        <w:t>并实现FallbackFactory接口</w:t>
      </w:r>
      <w:r w:rsidR="00F37D8A" w:rsidRPr="00B1613A">
        <w:rPr>
          <w:rFonts w:ascii="Microsoft YaHei UI" w:eastAsia="Microsoft YaHei UI" w:hAnsi="Microsoft YaHei UI" w:hint="eastAsia"/>
          <w:color w:val="FF0000"/>
        </w:rPr>
        <w:t>，实现方法并编写降级逻辑，注册成为一个bean对象，</w:t>
      </w:r>
    </w:p>
    <w:p w14:paraId="23682F45" w14:textId="0109EBB8" w:rsidR="002D525A" w:rsidRPr="00B1613A" w:rsidRDefault="00743B48" w:rsidP="00B444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  <w:lang w:val="hr"/>
        </w:rPr>
      </w:pPr>
      <w:r w:rsidRPr="00B1613A">
        <w:rPr>
          <w:rFonts w:ascii="Microsoft YaHei UI" w:eastAsia="Microsoft YaHei UI" w:hAnsi="Microsoft YaHei UI" w:hint="eastAsia"/>
          <w:color w:val="FF0000"/>
        </w:rPr>
        <w:t>在feign接口的</w:t>
      </w:r>
      <w:r w:rsidR="002D525A" w:rsidRPr="00B1613A">
        <w:rPr>
          <w:rFonts w:ascii="Microsoft YaHei UI" w:eastAsia="Microsoft YaHei UI" w:hAnsi="Microsoft YaHei UI" w:hint="eastAsia"/>
          <w:color w:val="FF0000"/>
        </w:rPr>
        <w:t>FeignClient注解上指定fallbackFactory</w:t>
      </w:r>
    </w:p>
    <w:p w14:paraId="1B03BB65" w14:textId="4A86743C" w:rsidR="00743B48" w:rsidRDefault="00743B48" w:rsidP="00743B4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 wp14:anchorId="36E332BC" wp14:editId="2E6A9943">
            <wp:extent cx="5267960" cy="2777490"/>
            <wp:effectExtent l="0" t="0" r="8890" b="3810"/>
            <wp:docPr id="20915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5B36" w14:textId="1F9C3474" w:rsidR="00743B48" w:rsidRDefault="00743B48" w:rsidP="00743B48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>
        <w:rPr>
          <w:rFonts w:ascii="Microsoft YaHei UI" w:eastAsia="Microsoft YaHei UI" w:hAnsi="Microsoft YaHei UI"/>
          <w:noProof/>
          <w:lang w:val="hr"/>
        </w:rPr>
        <w:drawing>
          <wp:inline distT="0" distB="0" distL="0" distR="0" wp14:anchorId="41F9D6A6" wp14:editId="67B18084">
            <wp:extent cx="5267960" cy="2593340"/>
            <wp:effectExtent l="0" t="0" r="8890" b="0"/>
            <wp:docPr id="1743579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95A6" w14:textId="5AB5C522" w:rsidR="00D633F8" w:rsidRPr="00D633F8" w:rsidRDefault="00D633F8" w:rsidP="008F0515">
      <w:pPr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</w:pPr>
      <w:r w:rsidRPr="00581CFA"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lastRenderedPageBreak/>
        <w:t>分布式事务</w:t>
      </w:r>
      <w:r w:rsidRPr="00D633F8">
        <w:rPr>
          <w:rFonts w:ascii="微软雅黑" w:eastAsia="微软雅黑" w:hAnsi="微软雅黑" w:cs="Times New Roman" w:hint="eastAsia"/>
          <w:color w:val="4472C4" w:themeColor="accent1"/>
          <w:kern w:val="0"/>
          <w:sz w:val="32"/>
          <w:szCs w:val="32"/>
          <w:lang w:val="hr"/>
        </w:rPr>
        <w:t>@GlobalTransactional原理</w:t>
      </w:r>
    </w:p>
    <w:p w14:paraId="5548F860" w14:textId="257F0A72" w:rsidR="00581CFA" w:rsidRDefault="00D633F8" w:rsidP="008F0515">
      <w:pPr>
        <w:pStyle w:val="a4"/>
        <w:spacing w:before="0" w:beforeAutospacing="0" w:after="0" w:afterAutospacing="0"/>
        <w:rPr>
          <w:rFonts w:ascii="Microsoft YaHei UI" w:eastAsia="Microsoft YaHei UI" w:hAnsi="Microsoft YaHei UI"/>
          <w:lang w:val="hr"/>
        </w:rPr>
      </w:pPr>
      <w:r w:rsidRPr="00D633F8">
        <w:rPr>
          <w:rFonts w:ascii="Microsoft YaHei UI" w:eastAsia="Microsoft YaHei UI" w:hAnsi="Microsoft YaHei UI" w:hint="eastAsia"/>
          <w:lang w:val="hr"/>
        </w:rPr>
        <w:t>全局事务由多个本地事务和一张表实现，其中表记录的是已提交的本地事务的XID。若所有的本地事务都成功提交，那么全局事务也成功提交了；若存在一个本地事务失败，那么全局事务就会根据表来查询出已提交的本地事务，将这些事务回滚，从而实现全局事务的回滚。</w:t>
      </w:r>
    </w:p>
    <w:p w14:paraId="59FD5C76" w14:textId="3D97E172" w:rsidR="000305EE" w:rsidRDefault="00C972C5" w:rsidP="008F0515">
      <w:pPr>
        <w:pStyle w:val="a4"/>
        <w:spacing w:before="0" w:beforeAutospacing="0" w:after="0" w:afterAutospacing="0"/>
        <w:rPr>
          <w:rFonts w:ascii="微软雅黑" w:eastAsia="微软雅黑" w:hAnsi="微软雅黑" w:cs="Times New Roman"/>
          <w:color w:val="4472C4" w:themeColor="accent1"/>
          <w:sz w:val="32"/>
          <w:szCs w:val="32"/>
          <w:lang w:val="hr"/>
        </w:rPr>
      </w:pPr>
      <w:r w:rsidRPr="00C972C5">
        <w:rPr>
          <w:rFonts w:ascii="微软雅黑" w:eastAsia="微软雅黑" w:hAnsi="微软雅黑" w:cs="Times New Roman" w:hint="eastAsia"/>
          <w:color w:val="4472C4" w:themeColor="accent1"/>
          <w:sz w:val="32"/>
          <w:szCs w:val="32"/>
          <w:lang w:val="hr"/>
        </w:rPr>
        <w:t>请求从外部到微服务的数据流，以及微服务调用微服务的数据流，都经过哪些组件</w:t>
      </w:r>
    </w:p>
    <w:p w14:paraId="3C0353EE" w14:textId="777FD4F6" w:rsidR="00C972C5" w:rsidRDefault="00C972C5" w:rsidP="008F0515">
      <w:pPr>
        <w:pStyle w:val="a4"/>
        <w:spacing w:before="0" w:beforeAutospacing="0" w:after="0" w:afterAutospacing="0"/>
        <w:rPr>
          <w:rFonts w:ascii="Microsoft YaHei UI" w:eastAsia="Microsoft YaHei UI" w:hAnsi="Microsoft YaHei UI"/>
          <w:lang w:val="hr"/>
        </w:rPr>
      </w:pPr>
      <w:r w:rsidRPr="00C972C5">
        <w:rPr>
          <w:rFonts w:ascii="Microsoft YaHei UI" w:eastAsia="Microsoft YaHei UI" w:hAnsi="Microsoft YaHei UI" w:hint="eastAsia"/>
          <w:lang w:val="hr"/>
        </w:rPr>
        <w:t>外部客户端 → API 网关 → 负载均衡 → 服务发现 → 目标微服务实例</w:t>
      </w:r>
    </w:p>
    <w:p w14:paraId="329BA792" w14:textId="634C6822" w:rsidR="00F47BCA" w:rsidRPr="00A44B42" w:rsidRDefault="00F016FE" w:rsidP="008F0515">
      <w:pPr>
        <w:pStyle w:val="a4"/>
        <w:spacing w:before="0" w:beforeAutospacing="0" w:after="0" w:afterAutospacing="0"/>
        <w:rPr>
          <w:rFonts w:ascii="Microsoft YaHei UI" w:eastAsia="Microsoft YaHei UI" w:hAnsi="Microsoft YaHei UI" w:hint="eastAsia"/>
          <w:lang w:val="hr"/>
        </w:rPr>
      </w:pPr>
      <w:r w:rsidRPr="00F016FE">
        <w:rPr>
          <w:rFonts w:ascii="Microsoft YaHei UI" w:eastAsia="Microsoft YaHei UI" w:hAnsi="Microsoft YaHei UI" w:hint="eastAsia"/>
          <w:lang w:val="hr"/>
        </w:rPr>
        <w:t>微服务A → 服务发现 → 负载均衡 → 微服务B实例</w:t>
      </w:r>
    </w:p>
    <w:sectPr w:rsidR="00F47BCA" w:rsidRPr="00A4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657B5" w14:textId="77777777" w:rsidR="00576EF8" w:rsidRDefault="00576EF8" w:rsidP="00E0720E">
      <w:pPr>
        <w:rPr>
          <w:rFonts w:hint="eastAsia"/>
        </w:rPr>
      </w:pPr>
      <w:r>
        <w:separator/>
      </w:r>
    </w:p>
  </w:endnote>
  <w:endnote w:type="continuationSeparator" w:id="0">
    <w:p w14:paraId="6FE700C5" w14:textId="77777777" w:rsidR="00576EF8" w:rsidRDefault="00576EF8" w:rsidP="00E072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50532" w14:textId="77777777" w:rsidR="00576EF8" w:rsidRDefault="00576EF8" w:rsidP="00E0720E">
      <w:pPr>
        <w:rPr>
          <w:rFonts w:hint="eastAsia"/>
        </w:rPr>
      </w:pPr>
      <w:r>
        <w:separator/>
      </w:r>
    </w:p>
  </w:footnote>
  <w:footnote w:type="continuationSeparator" w:id="0">
    <w:p w14:paraId="4D70CA7D" w14:textId="77777777" w:rsidR="00576EF8" w:rsidRDefault="00576EF8" w:rsidP="00E072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02753"/>
    <w:multiLevelType w:val="hybridMultilevel"/>
    <w:tmpl w:val="E4841B5C"/>
    <w:lvl w:ilvl="0" w:tplc="9716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9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37"/>
    <w:rsid w:val="00012371"/>
    <w:rsid w:val="00013019"/>
    <w:rsid w:val="000305EE"/>
    <w:rsid w:val="00083F79"/>
    <w:rsid w:val="000B2EEB"/>
    <w:rsid w:val="000C0B9C"/>
    <w:rsid w:val="000E16A1"/>
    <w:rsid w:val="00105640"/>
    <w:rsid w:val="00143B84"/>
    <w:rsid w:val="001F0DE1"/>
    <w:rsid w:val="00216276"/>
    <w:rsid w:val="00244BA0"/>
    <w:rsid w:val="00251CC0"/>
    <w:rsid w:val="0027670E"/>
    <w:rsid w:val="00277586"/>
    <w:rsid w:val="00284A21"/>
    <w:rsid w:val="002946F8"/>
    <w:rsid w:val="002A00BE"/>
    <w:rsid w:val="002B7A35"/>
    <w:rsid w:val="002D0E62"/>
    <w:rsid w:val="002D525A"/>
    <w:rsid w:val="002D59FD"/>
    <w:rsid w:val="002D6CF9"/>
    <w:rsid w:val="002D78EF"/>
    <w:rsid w:val="002F320D"/>
    <w:rsid w:val="002F3C3A"/>
    <w:rsid w:val="00321890"/>
    <w:rsid w:val="00337D2E"/>
    <w:rsid w:val="003730B0"/>
    <w:rsid w:val="003D4896"/>
    <w:rsid w:val="003E0406"/>
    <w:rsid w:val="003F47C3"/>
    <w:rsid w:val="00424731"/>
    <w:rsid w:val="00434C40"/>
    <w:rsid w:val="004562A7"/>
    <w:rsid w:val="00496F37"/>
    <w:rsid w:val="004A6B09"/>
    <w:rsid w:val="004D3F4F"/>
    <w:rsid w:val="004D6A4D"/>
    <w:rsid w:val="00517DE1"/>
    <w:rsid w:val="00526904"/>
    <w:rsid w:val="00532057"/>
    <w:rsid w:val="00543072"/>
    <w:rsid w:val="00576EF8"/>
    <w:rsid w:val="005772F5"/>
    <w:rsid w:val="00581CFA"/>
    <w:rsid w:val="005B3714"/>
    <w:rsid w:val="0061024D"/>
    <w:rsid w:val="00621F55"/>
    <w:rsid w:val="0062761D"/>
    <w:rsid w:val="00663D65"/>
    <w:rsid w:val="006A3429"/>
    <w:rsid w:val="006C4FC7"/>
    <w:rsid w:val="006E22FC"/>
    <w:rsid w:val="007064B9"/>
    <w:rsid w:val="0073647F"/>
    <w:rsid w:val="00743B48"/>
    <w:rsid w:val="00750851"/>
    <w:rsid w:val="007802C8"/>
    <w:rsid w:val="00790133"/>
    <w:rsid w:val="007B3526"/>
    <w:rsid w:val="007F132A"/>
    <w:rsid w:val="007F78F7"/>
    <w:rsid w:val="008263F7"/>
    <w:rsid w:val="00880D73"/>
    <w:rsid w:val="00885CD1"/>
    <w:rsid w:val="00896C72"/>
    <w:rsid w:val="008A0D94"/>
    <w:rsid w:val="008B5144"/>
    <w:rsid w:val="008B7589"/>
    <w:rsid w:val="008B79B1"/>
    <w:rsid w:val="008C49E0"/>
    <w:rsid w:val="008E7D63"/>
    <w:rsid w:val="008F0515"/>
    <w:rsid w:val="009121F5"/>
    <w:rsid w:val="00917D34"/>
    <w:rsid w:val="00955B55"/>
    <w:rsid w:val="00956425"/>
    <w:rsid w:val="00962E4F"/>
    <w:rsid w:val="00967908"/>
    <w:rsid w:val="00974BAA"/>
    <w:rsid w:val="00991171"/>
    <w:rsid w:val="009A354D"/>
    <w:rsid w:val="00A053FE"/>
    <w:rsid w:val="00A44B42"/>
    <w:rsid w:val="00AA0A8E"/>
    <w:rsid w:val="00AA725C"/>
    <w:rsid w:val="00AF2B26"/>
    <w:rsid w:val="00B06869"/>
    <w:rsid w:val="00B13644"/>
    <w:rsid w:val="00B1613A"/>
    <w:rsid w:val="00B210D8"/>
    <w:rsid w:val="00B27011"/>
    <w:rsid w:val="00B3760D"/>
    <w:rsid w:val="00B40EA0"/>
    <w:rsid w:val="00B44465"/>
    <w:rsid w:val="00B74C40"/>
    <w:rsid w:val="00BA6645"/>
    <w:rsid w:val="00BD1865"/>
    <w:rsid w:val="00C10A5B"/>
    <w:rsid w:val="00C36859"/>
    <w:rsid w:val="00C63B17"/>
    <w:rsid w:val="00C65ECF"/>
    <w:rsid w:val="00C815A6"/>
    <w:rsid w:val="00C8314B"/>
    <w:rsid w:val="00C86617"/>
    <w:rsid w:val="00C930F7"/>
    <w:rsid w:val="00C972C5"/>
    <w:rsid w:val="00CD3583"/>
    <w:rsid w:val="00CD691D"/>
    <w:rsid w:val="00CF2796"/>
    <w:rsid w:val="00CF4EE4"/>
    <w:rsid w:val="00D15EE6"/>
    <w:rsid w:val="00D633F8"/>
    <w:rsid w:val="00DA6153"/>
    <w:rsid w:val="00DB1E8A"/>
    <w:rsid w:val="00DD0397"/>
    <w:rsid w:val="00DD501D"/>
    <w:rsid w:val="00DD7345"/>
    <w:rsid w:val="00DE3282"/>
    <w:rsid w:val="00DE7E7B"/>
    <w:rsid w:val="00E0720E"/>
    <w:rsid w:val="00E261DD"/>
    <w:rsid w:val="00E61179"/>
    <w:rsid w:val="00E74BAE"/>
    <w:rsid w:val="00E92DFC"/>
    <w:rsid w:val="00EA45BC"/>
    <w:rsid w:val="00EC32F5"/>
    <w:rsid w:val="00EF1E10"/>
    <w:rsid w:val="00F016FE"/>
    <w:rsid w:val="00F12F27"/>
    <w:rsid w:val="00F17818"/>
    <w:rsid w:val="00F3767D"/>
    <w:rsid w:val="00F37D8A"/>
    <w:rsid w:val="00F47BCA"/>
    <w:rsid w:val="00F56FBC"/>
    <w:rsid w:val="00F72394"/>
    <w:rsid w:val="00F756F8"/>
    <w:rsid w:val="00F8542C"/>
    <w:rsid w:val="00F94FEE"/>
    <w:rsid w:val="00F955F9"/>
    <w:rsid w:val="00FA42C6"/>
    <w:rsid w:val="00FA7F1A"/>
    <w:rsid w:val="00FF0B34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4D5B0"/>
  <w15:chartTrackingRefBased/>
  <w15:docId w15:val="{90263324-52DE-42FE-A409-112BA9F7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9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904"/>
    <w:rPr>
      <w:b/>
      <w:bCs/>
    </w:rPr>
  </w:style>
  <w:style w:type="paragraph" w:styleId="a4">
    <w:name w:val="Normal (Web)"/>
    <w:basedOn w:val="a"/>
    <w:uiPriority w:val="99"/>
    <w:unhideWhenUsed/>
    <w:rsid w:val="00526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7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72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7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720E"/>
    <w:rPr>
      <w:sz w:val="18"/>
      <w:szCs w:val="18"/>
    </w:rPr>
  </w:style>
  <w:style w:type="character" w:styleId="a9">
    <w:name w:val="Hyperlink"/>
    <w:basedOn w:val="a0"/>
    <w:uiPriority w:val="99"/>
    <w:unhideWhenUsed/>
    <w:rsid w:val="00581C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1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236</cp:revision>
  <dcterms:created xsi:type="dcterms:W3CDTF">2022-01-06T12:16:00Z</dcterms:created>
  <dcterms:modified xsi:type="dcterms:W3CDTF">2025-02-23T14:07:00Z</dcterms:modified>
</cp:coreProperties>
</file>