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Plan baseline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Baseline principale = classifieur CNN (MobileNetV2/ResNet18)</w:t>
      </w:r>
      <w:r>
        <w:rPr/>
        <w:br/>
        <w:t xml:space="preserve">→ c’est la référence “downstream” la plus parlante. Elle exercera ton DataGenerator, expose vite le sur-apprentissage et sert d’ancre pour comparer </w:t>
      </w:r>
      <w:r>
        <w:rPr>
          <w:rStyle w:val="Strong"/>
        </w:rPr>
        <w:t>l’apport des GAN</w:t>
      </w:r>
      <w:r>
        <w:rPr/>
        <w:t xml:space="preserve"> plus tard.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Baseline “classique” complémentaire = PyRadiomics + (LogReg / Linear SVM)</w:t>
      </w:r>
      <w:r>
        <w:rPr/>
        <w:br/>
        <w:t xml:space="preserve">→ très peu de code, très robuste, et </w:t>
      </w:r>
      <w:r>
        <w:rPr>
          <w:rStyle w:val="Strong"/>
        </w:rPr>
        <w:t>interprétable</w:t>
      </w:r>
      <w:r>
        <w:rPr/>
        <w:t>. Elle te donne un repère non-neuronal crédible et améliore ta note méthodo (features hand-crafted standardisées).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SSM/LSSM = module “morpho/explicabilité” (option générateur historique)</w:t>
      </w:r>
      <w:r>
        <w:rPr/>
        <w:br/>
        <w:t xml:space="preserve">→ excellent pour montrer la </w:t>
      </w:r>
      <w:r>
        <w:rPr>
          <w:rStyle w:val="Strong"/>
        </w:rPr>
        <w:t>variabilité de forme</w:t>
      </w:r>
      <w:r>
        <w:rPr/>
        <w:t xml:space="preserve"> (modes PCA), faire de la </w:t>
      </w:r>
      <w:r>
        <w:rPr>
          <w:rStyle w:val="Strong"/>
        </w:rPr>
        <w:t>détection d’anomalies</w:t>
      </w:r>
      <w:r>
        <w:rPr/>
        <w:t xml:space="preserve"> (erreur de reconstruction) et préparer un </w:t>
      </w:r>
      <w:r>
        <w:rPr>
          <w:rStyle w:val="Strong"/>
        </w:rPr>
        <w:t>baseline de génération orienté forme</w:t>
      </w:r>
      <w:r>
        <w:rPr/>
        <w:t xml:space="preserve">. Mais ce n’est </w:t>
      </w:r>
      <w:r>
        <w:rPr>
          <w:rStyle w:val="Strong"/>
        </w:rPr>
        <w:t>pas</w:t>
      </w:r>
      <w:r>
        <w:rPr/>
        <w:t xml:space="preserve"> le meilleur point de départ si ton objectif immédiat est d’obtenir des </w:t>
      </w:r>
      <w:r>
        <w:rPr>
          <w:rStyle w:val="Strong"/>
        </w:rPr>
        <w:t>scores de classification</w:t>
      </w:r>
      <w:r>
        <w:rPr/>
        <w:t xml:space="preserve"> + un pipeline stable.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Pourquoi ce choix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Impact/effort</w:t>
      </w:r>
      <w:r>
        <w:rPr/>
        <w:t xml:space="preserve"> : le </w:t>
      </w:r>
      <w:r>
        <w:rPr>
          <w:rStyle w:val="Strong"/>
        </w:rPr>
        <w:t>CNN</w:t>
      </w:r>
      <w:r>
        <w:rPr/>
        <w:t xml:space="preserve"> te donne rapidement une métrique </w:t>
      </w:r>
      <w:r>
        <w:rPr>
          <w:rStyle w:val="Strong"/>
        </w:rPr>
        <w:t>downstream</w:t>
      </w:r>
      <w:r>
        <w:rPr/>
        <w:t xml:space="preserve"> forte (accuracy/macro-F1) et “stress-teste” tes prétraitements (stain aug, artefacts).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Risque méthodo</w:t>
      </w:r>
      <w:r>
        <w:rPr/>
        <w:t xml:space="preserve"> : </w:t>
      </w:r>
      <w:r>
        <w:rPr>
          <w:rStyle w:val="Strong"/>
        </w:rPr>
        <w:t>PyRadiomics</w:t>
      </w:r>
      <w:r>
        <w:rPr/>
        <w:t xml:space="preserve"> limite le risque de “black box only”, apporte des </w:t>
      </w:r>
      <w:r>
        <w:rPr>
          <w:rStyle w:val="Strong"/>
        </w:rPr>
        <w:t>features explicables</w:t>
      </w:r>
      <w:r>
        <w:rPr/>
        <w:t xml:space="preserve"> (GLCM/GLRLM/GLSZM, etc.) et un résultat souvent surprenant d’efficacité.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Pertinence GAN</w:t>
      </w:r>
      <w:r>
        <w:rPr/>
        <w:t xml:space="preserve"> : </w:t>
      </w:r>
      <w:r>
        <w:rPr>
          <w:rStyle w:val="Strong"/>
        </w:rPr>
        <w:t>SSM/LSSM</w:t>
      </w:r>
      <w:r>
        <w:rPr/>
        <w:t xml:space="preserve"> produit des </w:t>
      </w:r>
      <w:r>
        <w:rPr>
          <w:rStyle w:val="Emphasis"/>
        </w:rPr>
        <w:t>formes</w:t>
      </w:r>
      <w:r>
        <w:rPr/>
        <w:t xml:space="preserve"> (peu de texture) → utile pour un </w:t>
      </w:r>
      <w:r>
        <w:rPr>
          <w:rStyle w:val="Strong"/>
        </w:rPr>
        <w:t>baseline génération</w:t>
      </w:r>
      <w:r>
        <w:rPr/>
        <w:t xml:space="preserve"> (tu peux mesurer LPIPS/KID/FID mais attends-toi à des scores modestes côté réalisme) et pour des </w:t>
      </w:r>
      <w:r>
        <w:rPr>
          <w:rStyle w:val="Strong"/>
        </w:rPr>
        <w:t>figures pédagogiques</w:t>
      </w:r>
      <w:r>
        <w:rPr/>
        <w:t xml:space="preserve"> (modes de variation). C’est parfait comme </w:t>
      </w:r>
      <w:r>
        <w:rPr>
          <w:rStyle w:val="Strong"/>
        </w:rPr>
        <w:t>encadré explicatif</w:t>
      </w:r>
      <w:r>
        <w:rPr/>
        <w:t xml:space="preserve"> et comme “générateur historique” à opposer à </w:t>
      </w:r>
      <w:r>
        <w:rPr>
          <w:rStyle w:val="Strong"/>
        </w:rPr>
        <w:t>StyleGAN/PixCell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Plan concret (sans te surcharger)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A – CNN baseline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Modèle léger (MobileNetV2 ou ResNet18) + </w:t>
      </w:r>
      <w:r>
        <w:rPr>
          <w:rStyle w:val="Strong"/>
        </w:rPr>
        <w:t>augmentations</w:t>
      </w:r>
      <w:r>
        <w:rPr/>
        <w:t xml:space="preserve"> adaptées histo (flip/rot, jitter couleur, </w:t>
      </w:r>
      <w:r>
        <w:rPr>
          <w:rStyle w:val="Strong"/>
        </w:rPr>
        <w:t>stain augmentation</w:t>
      </w:r>
      <w:r>
        <w:rPr/>
        <w:t xml:space="preserve"> légère, blur/ JPEG).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Métriques : </w:t>
      </w:r>
      <w:r>
        <w:rPr>
          <w:rStyle w:val="Strong"/>
        </w:rPr>
        <w:t>macro-F1</w:t>
      </w:r>
      <w:r>
        <w:rPr/>
        <w:t>, balanced accuracy, confusion matrix.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Tracke l’</w:t>
      </w:r>
      <w:r>
        <w:rPr>
          <w:rStyle w:val="Strong"/>
        </w:rPr>
        <w:t>overfit</w:t>
      </w:r>
      <w:r>
        <w:rPr/>
        <w:t xml:space="preserve"> (courbes train/val, early stopping).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B – PyRadiomics baseline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Extraction sur patchs (grayscale + éventuellement canaux H/E séparés).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Classifieur simple (LogReg multinomiale </w:t>
      </w:r>
      <w:r>
        <w:rPr>
          <w:rStyle w:val="Strong"/>
        </w:rPr>
        <w:t>ou</w:t>
      </w:r>
      <w:r>
        <w:rPr/>
        <w:t xml:space="preserve"> Linear SVM), </w:t>
      </w:r>
      <w:r>
        <w:rPr>
          <w:rStyle w:val="Textesource"/>
        </w:rPr>
        <w:t>class_weight="balanced"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Même protocole d’éval (split stratifié / CV).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Phase C – SSM/LSSM (EDA + baseline génération forme)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Construire SSM par classe à partir de </w:t>
      </w:r>
      <w:r>
        <w:rPr>
          <w:rStyle w:val="Strong"/>
        </w:rPr>
        <w:t>masques binaires</w:t>
      </w:r>
      <w:r>
        <w:rPr/>
        <w:t xml:space="preserve"> (proxy simples si pas d’annotations : régions tissulaires/“gland-like” via SimpleITK + seuillage).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Publier : </w:t>
      </w:r>
      <w:r>
        <w:rPr>
          <w:rStyle w:val="Strong"/>
        </w:rPr>
        <w:t>modes de variation</w:t>
      </w:r>
      <w:r>
        <w:rPr/>
        <w:t xml:space="preserve"> (±3σ), </w:t>
      </w:r>
      <w:r>
        <w:rPr>
          <w:rStyle w:val="Strong"/>
        </w:rPr>
        <w:t>erreur de reconstruction</w:t>
      </w:r>
      <w:r>
        <w:rPr/>
        <w:t xml:space="preserve">, </w:t>
      </w:r>
      <w:r>
        <w:rPr>
          <w:rStyle w:val="Strong"/>
        </w:rPr>
        <w:t>classement par vraisemblance</w:t>
      </w:r>
      <w:r>
        <w:rPr/>
        <w:t xml:space="preserve"> (distance de Mahalanobis) en bonus.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Si tu veux une métrique de génération : échantillonner des formes SSM, rasteriser, </w:t>
      </w:r>
      <w:r>
        <w:rPr>
          <w:rStyle w:val="Strong"/>
        </w:rPr>
        <w:t>peindre une texture simple</w:t>
      </w:r>
      <w:r>
        <w:rPr/>
        <w:t xml:space="preserve"> (optionnel) → calculer </w:t>
      </w:r>
      <w:r>
        <w:rPr>
          <w:rStyle w:val="Strong"/>
        </w:rPr>
        <w:t>KID</w:t>
      </w:r>
      <w:r>
        <w:rPr/>
        <w:t xml:space="preserve"> (plus stable que FID en petit n), </w:t>
      </w:r>
      <w:r>
        <w:rPr>
          <w:rStyle w:val="Strong"/>
        </w:rPr>
        <w:t>LPIPS</w:t>
      </w:r>
      <w:r>
        <w:rPr/>
        <w:t xml:space="preserve"> (à prendre avec recul en histo).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Petit tableau repères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53"/>
        <w:gridCol w:w="2510"/>
        <w:gridCol w:w="2634"/>
        <w:gridCol w:w="2641"/>
      </w:tblGrid>
      <w:tr>
        <w:trPr>
          <w:tblHeader w:val="true"/>
        </w:trPr>
        <w:tc>
          <w:tcPr>
            <w:tcW w:w="185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Approche</w:t>
            </w:r>
          </w:p>
        </w:tc>
        <w:tc>
          <w:tcPr>
            <w:tcW w:w="25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Ce que tu mesures le mieux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Forces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Faiblesses</w:t>
            </w:r>
          </w:p>
        </w:tc>
      </w:tr>
      <w:tr>
        <w:trPr/>
        <w:tc>
          <w:tcPr>
            <w:tcW w:w="18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CNN (MobileNet/ResNet)</w:t>
            </w:r>
          </w:p>
        </w:tc>
        <w:tc>
          <w:tcPr>
            <w:tcW w:w="25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Downstream</w:t>
            </w:r>
            <w:r>
              <w:rPr/>
              <w:t xml:space="preserve"> (macro-F1, gen)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Référence actuelle, exerce ton DataGenerator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Surapprentissage si variabilité faible</w:t>
            </w:r>
          </w:p>
        </w:tc>
      </w:tr>
      <w:tr>
        <w:trPr/>
        <w:tc>
          <w:tcPr>
            <w:tcW w:w="18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PyRadiomics + LR/SVM</w:t>
            </w:r>
          </w:p>
        </w:tc>
        <w:tc>
          <w:tcPr>
            <w:tcW w:w="25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Downstream + </w:t>
            </w:r>
            <w:r>
              <w:rPr>
                <w:rStyle w:val="Strong"/>
              </w:rPr>
              <w:t>interprétabilité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Simple, robuste, standard du domaine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Insensible à certains motifs complexes</w:t>
            </w:r>
          </w:p>
        </w:tc>
      </w:tr>
      <w:tr>
        <w:trPr/>
        <w:tc>
          <w:tcPr>
            <w:tcW w:w="18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SSM/LSSM</w:t>
            </w:r>
          </w:p>
        </w:tc>
        <w:tc>
          <w:tcPr>
            <w:tcW w:w="25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Morphologie</w:t>
            </w:r>
            <w:r>
              <w:rPr/>
              <w:t xml:space="preserve"> + baseline </w:t>
            </w:r>
            <w:r>
              <w:rPr>
                <w:rStyle w:val="Strong"/>
              </w:rPr>
              <w:t>génération (forme)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Très explicable, peu de données, détection anomalies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Pas d’apparence/texture → FID/LPIPS faibles</w:t>
            </w:r>
          </w:p>
        </w:tc>
      </w:tr>
    </w:tbl>
    <w:p>
      <w:pPr>
        <w:pStyle w:val="Lignehorizontal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Spec DataGenerator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Qualité d’image</w:t>
      </w:r>
      <w:r>
        <w:rPr/>
        <w:t xml:space="preserve"> : tu calcules les métriques (Laplacian variance, entropie, Tenengrad, ratios de blanc/saturation, blockiness spatial &amp; DCT, fraction tissulaire).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Normalisation Vahadane</w:t>
      </w:r>
      <w:r>
        <w:rPr/>
        <w:t xml:space="preserve"> via </w:t>
      </w:r>
      <w:r>
        <w:rPr>
          <w:rStyle w:val="Textesource"/>
        </w:rPr>
        <w:t>torch_staintools</w:t>
      </w:r>
      <w:r>
        <w:rPr/>
        <w:t>, fallback propre si indisponible.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Calibration par classe</w:t>
      </w:r>
      <w:r>
        <w:rPr/>
        <w:t xml:space="preserve"> du blockiness, avec z-scores.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Échantillonnage équilibré</w:t>
      </w:r>
      <w:r>
        <w:rPr/>
        <w:t xml:space="preserve"> (</w:t>
      </w:r>
      <w:r>
        <w:rPr>
          <w:rStyle w:val="Textesource"/>
        </w:rPr>
        <w:t>balance_per_class</w:t>
      </w:r>
      <w:r>
        <w:rPr/>
        <w:t xml:space="preserve"> + </w:t>
      </w:r>
      <w:r>
        <w:rPr>
          <w:rStyle w:val="Textesource"/>
        </w:rPr>
        <w:t>samples_per_class_per_epoch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Gestion fine du split</w:t>
      </w:r>
      <w:r>
        <w:rPr/>
        <w:t xml:space="preserve"> train / val / test.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Filtrage qualité dynamique</w:t>
      </w:r>
      <w:r>
        <w:rPr/>
        <w:t xml:space="preserve"> (5 essais avant abandon).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Visualisation intégrée</w:t>
      </w:r>
      <w:r>
        <w:rPr/>
        <w:t xml:space="preserve"> pour vérification rapide.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CPU/GPU agnostique</w:t>
      </w:r>
      <w:r>
        <w:rPr/>
        <w:t xml:space="preserve"> (fonctionne dans Docker GPU, et sans GPU sur AWS).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>Lorsque le dataset est échantilloné de nouvelles images sont chargées à chaque epoch</w:t>
      </w:r>
      <w:r>
        <w:rPr/>
        <w:t>, donc pas un simple shuffle – évite le sur-apprentissage.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Config des seuils de filtres par classe :</w:t>
        <w:br/>
      </w:r>
      <w:r>
        <w:rPr/>
        <w:t>🎯 Objectif : cohérence biomédicale et apprentissage robuste</w:t>
      </w:r>
    </w:p>
    <w:p>
      <w:pPr>
        <w:pStyle w:val="BodyText"/>
        <w:rPr/>
      </w:pPr>
      <w:r>
        <w:rPr/>
        <w:t>Le</w:t>
      </w:r>
      <w:r>
        <w:rPr/>
        <w:t xml:space="preserve"> pipeline 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écarte les artefacts réels</w:t>
      </w:r>
      <w:r>
        <w:rPr/>
        <w:t xml:space="preserve"> (flou, bruit JPEG, tuiles vides),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garde les classes BACK et ADI</w:t>
      </w:r>
      <w:r>
        <w:rPr/>
        <w:t xml:space="preserve">, car elles sont </w:t>
      </w:r>
      <w:r>
        <w:rPr>
          <w:rStyle w:val="Strong"/>
        </w:rPr>
        <w:t>sémantiquement importantes</w:t>
      </w:r>
      <w:r>
        <w:rPr/>
        <w:t xml:space="preserve"> pour la détection complète sur lame (fond / tissu adipeux sain),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tout en </w:t>
      </w:r>
      <w:r>
        <w:rPr>
          <w:rStyle w:val="Strong"/>
        </w:rPr>
        <w:t>conservant un filtrage strict pour les classes pathologiques et tissulaires</w:t>
      </w:r>
      <w:r>
        <w:rPr/>
        <w:t xml:space="preserve"> (TUM, STR, LYM, etc.).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592"/>
        <w:gridCol w:w="6528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rPr/>
            </w:pPr>
            <w:r>
              <w:rPr/>
              <w:t>Classe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Titredetableau"/>
              <w:rPr/>
            </w:pPr>
            <w:r>
              <w:rPr/>
              <w:t>Avant</w:t>
            </w:r>
          </w:p>
        </w:tc>
        <w:tc>
          <w:tcPr>
            <w:tcW w:w="6528" w:type="dxa"/>
            <w:tcBorders/>
            <w:vAlign w:val="center"/>
          </w:tcPr>
          <w:p>
            <w:pPr>
              <w:pStyle w:val="Titredetableau"/>
              <w:rPr/>
            </w:pPr>
            <w:r>
              <w:rPr/>
              <w:t>Après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BACK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rejetée à 100 %</w:t>
            </w:r>
          </w:p>
        </w:tc>
        <w:tc>
          <w:tcPr>
            <w:tcW w:w="6528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toutes les tuiles de fond passent ✅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rPr/>
            </w:pPr>
            <w:r>
              <w:rPr>
                <w:rStyle w:val="Strong"/>
              </w:rPr>
              <w:t>ADI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5/50 OK</w:t>
            </w:r>
          </w:p>
        </w:tc>
        <w:tc>
          <w:tcPr>
            <w:tcW w:w="6528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~100 % OK, car les tissus adipeux sont naturellement peu texturés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Autres classes</w:t>
            </w:r>
          </w:p>
        </w:tc>
        <w:tc>
          <w:tcPr>
            <w:tcW w:w="1592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inchangées</w:t>
            </w:r>
          </w:p>
        </w:tc>
        <w:tc>
          <w:tcPr>
            <w:tcW w:w="6528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le filtrage reste strict (seulement les tuiles “propres”)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aractresdenumrotation">
    <w:name w:val="Caractères de numérotation"/>
    <w:qFormat/>
    <w:rPr/>
  </w:style>
  <w:style w:type="character" w:styleId="Emphasis">
    <w:name w:val="Emphasis"/>
    <w:qFormat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3</Pages>
  <Words>657</Words>
  <Characters>3932</Characters>
  <CharactersWithSpaces>4498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2025-10-18T09:58:44Z</dcterms:created>
  <dc:creator/>
  <dc:description/>
  <dc:language>fr-FR</dc:language>
  <cp:lastModifiedBy/>
  <dcterms:modified xsi:type="dcterms:W3CDTF">2025-10-18T21:34:23Z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