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br w:type="textWrapping"/>
        <w:br w:type="textWrapping"/>
        <w:t xml:space="preserve">Botium Toys should prioritize implementing least privilege and separation of duties to restrict access to sensitive data, particularly customer PII and payment card information. Encryption must be implemented immediately for all stored, processed, and transmitted cardholder data to meet PCI DSS requirements.</w:t>
      </w:r>
    </w:p>
    <w:p w:rsidR="00000000" w:rsidDel="00000000" w:rsidP="00000000" w:rsidRDefault="00000000" w:rsidRPr="00000000" w14:paraId="00000078">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9">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organization should establish regular backups and a formal disaster recovery plan to ensure business continuity. Deploying an intrusion detection system (IDS) would improve threat detection and incident response capabilities.</w:t>
      </w:r>
    </w:p>
    <w:p w:rsidR="00000000" w:rsidDel="00000000" w:rsidP="00000000" w:rsidRDefault="00000000" w:rsidRPr="00000000" w14:paraId="0000007A">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centralized password management system should be adopted to enforce stronger password policies and improve productivity. Finally, asset classification, inventory management, and scheduled monitoring of legacy systems should be formalized to reduce overall risk and improve compliance with GDPR and SOC requirements.</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