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Kruskall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Le papier parle de l’implémentation de l’algorithme de Kruskal en temps quasi-linéaire.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Kruskall va prendre toutes les arêtes du graphe, dans l’ordre décroissant, et les ajouter au MSP successivement s'ils ne forment pas un cycle.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Pour savoir si une arête peut être insérée dans le MSP, il faut savoir si elle forme un cycle. Un MSP étant une liste, trouver l’appartenance à un ensemble ne se fait pas en O(1). C’est pour cela que l’on va créer une deuxième représentation de ce MSP. On choisit donc de calculer à la fois le MSP, et la structure permettant de tester l’appartenance à un ensemble en temps constant (Union-Find). Ce graphe est nommé QBT.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Partie 1 : Le calcul en temps quasi-constant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UNION-FIND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Cette structure ne possède qu’une racine par composantes connexe. Cette racine, appelée élément canonique, représente l’ensemble.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 opérations sont possibles sur les ensembles: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Canonical(c) -&gt; Trouve l’élément canonique de l’élément d’indice c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Union(cx, cy) -&gt; cy (élément canonique) prends comme père cx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Cette structure est représentée par une array parent[]. Les nodes sont numérotées de 0 à n-1. parent[i] donne l’indice de l'élément parent de la node i.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90725" cy="5419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1706" l="34883" r="30398" t="1743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9072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Voici un exemple d’exécution de la structure union-find. Nous faisons find sur l’élément 0. L’algorithme va “compresser” le chemin allant de 0 à l’élément canonique, permettant de garantir un temps d'exécution quasi-linéaire.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ARBRE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Cette structure est une structure d’arbre binaire de base. Les nodes sont représentées par des indices allant de 0 à n-1. Une array parents[i] définit le parent de la node i.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On a donc deux arrays, qui représentent deux choses différentes. La première n’est en rien un arbre, mais permet de trouver l’appartenance à un ensemble en O(1). Le deuxième représente un arbre binaire =&gt; une hiérarchie.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On va donc réunir le meilleur des deux mondes et utiliser EN MÊME TEMPS les deux représentations, pour pouvoir calculer en O(n) un MSP. n étant le nombre d’arêtes.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Partie 2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L’autre partie de ce papier donne une méthode pour obtenir la hiérarchie des zones quasi-plates (arbre QCT).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Pour ce faire, on rassemble les sommets de QBT de même poids (sauf racines et feuilles). Cela nous ramène donc à une hiérarchie. On obtient ainsi un nouvel arbre QCT, qui va nous servir par la suite. Cet arbre sera utile au projet.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Ci dessous la transformation effectuée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     2              2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    /                /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  1                1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 /                 /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1                 0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/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dernière partie du papier nous parle d’une hiérarchie d’attributs. Ces attributs correspondent à la surface du graphe QCT. Ils sont calculés récursivement et correspondent à la somme des attributs des enfants. L’attribut d’une feuille correspond à son poids dans QBT ou QCT.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