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F01FF">
      <w:pPr>
        <w:pStyle w:val="5"/>
        <w:spacing w:before="208" w:line="212" w:lineRule="auto"/>
        <w:rPr>
          <w:rFonts w:hint="default" w:eastAsia="宋体"/>
          <w:sz w:val="49"/>
          <w:szCs w:val="49"/>
          <w:lang w:val="en-US" w:eastAsia="zh-CN"/>
        </w:rPr>
      </w:pPr>
      <w:r>
        <w:rPr>
          <w:b/>
          <w:bCs/>
          <w:spacing w:val="12"/>
          <w:sz w:val="49"/>
          <w:szCs w:val="49"/>
        </w:rPr>
        <w:t>Cloud</w:t>
      </w:r>
      <w:r>
        <w:rPr>
          <w:b/>
          <w:bCs/>
          <w:spacing w:val="82"/>
          <w:sz w:val="49"/>
          <w:szCs w:val="49"/>
        </w:rPr>
        <w:t xml:space="preserve"> </w:t>
      </w:r>
      <w:r>
        <w:rPr>
          <w:b/>
          <w:bCs/>
          <w:spacing w:val="12"/>
          <w:sz w:val="49"/>
          <w:szCs w:val="49"/>
        </w:rPr>
        <w:t>Computing</w:t>
      </w:r>
      <w:r>
        <w:rPr>
          <w:b/>
          <w:bCs/>
          <w:spacing w:val="69"/>
          <w:sz w:val="49"/>
          <w:szCs w:val="49"/>
        </w:rPr>
        <w:t xml:space="preserve"> </w:t>
      </w:r>
      <w:r>
        <w:rPr>
          <w:rFonts w:hint="eastAsia" w:eastAsia="宋体"/>
          <w:b/>
          <w:bCs/>
          <w:spacing w:val="69"/>
          <w:sz w:val="49"/>
          <w:szCs w:val="49"/>
          <w:lang w:val="en-US" w:eastAsia="zh-CN"/>
        </w:rPr>
        <w:t>Assessment 4</w:t>
      </w:r>
    </w:p>
    <w:p w14:paraId="02FDEC5F">
      <w:pPr>
        <w:pStyle w:val="5"/>
        <w:spacing w:line="333" w:lineRule="auto"/>
      </w:pPr>
    </w:p>
    <w:p w14:paraId="5F753EA6">
      <w:pPr>
        <w:pStyle w:val="5"/>
        <w:spacing w:before="61" w:line="194" w:lineRule="auto"/>
        <w:ind w:left="8"/>
      </w:pPr>
      <w:r>
        <w:rPr>
          <w:b/>
          <w:bCs/>
          <w:spacing w:val="14"/>
        </w:rPr>
        <w:t>Name:</w:t>
      </w:r>
      <w:r>
        <w:rPr>
          <w:b/>
          <w:bCs/>
          <w:spacing w:val="42"/>
        </w:rPr>
        <w:t xml:space="preserve"> </w:t>
      </w:r>
      <w:r>
        <w:rPr>
          <w:b/>
          <w:bCs/>
          <w:spacing w:val="14"/>
        </w:rPr>
        <w:t>Xilei</w:t>
      </w:r>
      <w:r>
        <w:rPr>
          <w:b/>
          <w:bCs/>
          <w:spacing w:val="34"/>
        </w:rPr>
        <w:t xml:space="preserve"> </w:t>
      </w:r>
      <w:r>
        <w:rPr>
          <w:b/>
          <w:bCs/>
          <w:spacing w:val="14"/>
        </w:rPr>
        <w:t>Du</w:t>
      </w:r>
    </w:p>
    <w:p w14:paraId="674454F1">
      <w:pPr>
        <w:pStyle w:val="5"/>
        <w:spacing w:before="64" w:line="217" w:lineRule="auto"/>
        <w:jc w:val="center"/>
        <w:rPr>
          <w:spacing w:val="10"/>
        </w:rPr>
      </w:pPr>
      <w:r>
        <w:rPr>
          <w:b/>
          <w:bCs/>
        </w:rPr>
        <w:t>ID</w:t>
      </w:r>
      <w:r>
        <w:rPr>
          <w:b/>
          <w:bCs/>
          <w:spacing w:val="40"/>
        </w:rPr>
        <w:t xml:space="preserve"> </w:t>
      </w:r>
      <w:r>
        <w:rPr>
          <w:b/>
          <w:bCs/>
        </w:rPr>
        <w:t>Number</w:t>
      </w:r>
      <w:r>
        <w:rPr>
          <w:b/>
          <w:bCs/>
          <w:spacing w:val="10"/>
        </w:rPr>
        <w:t>:</w:t>
      </w:r>
      <w:r>
        <w:rPr>
          <w:b/>
          <w:bCs/>
          <w:spacing w:val="38"/>
        </w:rPr>
        <w:t xml:space="preserve"> </w:t>
      </w:r>
      <w:r>
        <w:rPr>
          <w:b/>
          <w:bCs/>
          <w:spacing w:val="10"/>
        </w:rPr>
        <w:t>202383930004</w:t>
      </w:r>
      <w:r>
        <w:rPr>
          <w:b/>
          <w:bCs/>
          <w:spacing w:val="1"/>
        </w:rPr>
        <w:t xml:space="preserve">                             </w:t>
      </w:r>
      <w:r>
        <w:rPr>
          <w:b/>
          <w:bCs/>
        </w:rPr>
        <w:t xml:space="preserve">                                                           </w:t>
      </w:r>
      <w:r>
        <w:rPr>
          <w:spacing w:val="10"/>
        </w:rPr>
        <w:t xml:space="preserve"> </w:t>
      </w:r>
      <w:r>
        <w:rPr>
          <w:rFonts w:hint="eastAsia" w:eastAsia="宋体"/>
          <w:spacing w:val="10"/>
          <w:lang w:val="en-US" w:eastAsia="zh-CN"/>
        </w:rPr>
        <w:t>30</w:t>
      </w:r>
      <w:r>
        <w:rPr>
          <w:rFonts w:hint="eastAsia"/>
          <w:spacing w:val="10"/>
          <w:lang w:val="en-US" w:eastAsia="zh-CN"/>
        </w:rPr>
        <w:t xml:space="preserve"> Nov</w:t>
      </w:r>
      <w:r>
        <w:rPr>
          <w:spacing w:val="10"/>
        </w:rPr>
        <w:t xml:space="preserve"> 2025</w:t>
      </w:r>
    </w:p>
    <w:p w14:paraId="059FED80">
      <w:pPr>
        <w:pStyle w:val="5"/>
        <w:spacing w:line="255" w:lineRule="auto"/>
      </w:pPr>
      <w:r>
        <w:pict>
          <v:shape id="_x0000_s1026" o:spid="_x0000_s1026" style="position:absolute;left:0pt;margin-left:0.15pt;margin-top:11pt;height:0.4pt;width:467.75pt;z-index:251660288;mso-width-relative:page;mso-height-relative:page;" filled="f" stroked="t" coordsize="9355,8" path="m0,3l9354,3e">
            <v:fill on="f" focussize="0,0"/>
            <v:stroke weight="0.4pt" color="#000000" miterlimit="10" joinstyle="miter"/>
            <v:imagedata o:title=""/>
            <o:lock v:ext="edit"/>
          </v:shape>
        </w:pict>
      </w:r>
    </w:p>
    <w:p w14:paraId="76AE65D7">
      <w:pPr>
        <w:pStyle w:val="5"/>
        <w:spacing w:line="255" w:lineRule="auto"/>
      </w:pPr>
    </w:p>
    <w:p w14:paraId="6786EF04">
      <w:pPr>
        <w:pStyle w:val="3"/>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1. Orchestration tools and their role</w:t>
      </w:r>
    </w:p>
    <w:p w14:paraId="1B86C3E2">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(a) Orchestration tools like Kubernetes help manage and scale application servers by automating container deployment, scheduling, scaling, and lifecycle management. They continuously monitor the health of containers and restart or reschedule them in case of failure. When demand increases, Kubernetes automatically creates more container replicas to handle the load; when demand drops, it reduces the number of replicas to save resources.</w:t>
      </w:r>
    </w:p>
    <w:p w14:paraId="654DBFB7">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(b) These tools facilitate automated deployment, scaling, and management through declarative configuration. Developers define the desired state (e.g., number of replicas, image version), and Kubernetes ensures the cluster matches that state automatically. Rolling updates, self-healing, and load balancing are all handled without manual intervention, providing consistency, high availability, and reduced human error.</w:t>
      </w:r>
    </w:p>
    <w:p w14:paraId="23E317F1">
      <w:pPr>
        <w:pStyle w:val="3"/>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2. Pod, Deployment, and Service</w:t>
      </w:r>
    </w:p>
    <w:p w14:paraId="4A8ECD19">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Pod: The smallest deployable unit in Kubernetes. It contains one or more containers that share the same network namespace and storage.</w:t>
      </w:r>
    </w:p>
    <w:p w14:paraId="02AE970D">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Deployment: A higher-level object that manages Pods. It ensures the correct number of Pods are running and supports rolling updates and rollback.</w:t>
      </w:r>
    </w:p>
    <w:p w14:paraId="0D1B0B0D">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Service: An abstraction that defines a stable endpoint (DNS name and IP) to access Pods, even as Pods are created or destroyed. It provides load balancing across Pod replicas.</w:t>
      </w:r>
    </w:p>
    <w:p w14:paraId="70AE11C3">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3. Namespace in Kubernetes</w:t>
      </w:r>
    </w:p>
    <w:p w14:paraId="6044600E">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A Namespace is a logical partition inside a Kubernetes cluster that allows multiple users or projects to share the same cluster without conflict. It isolates resources such as Deployments, Services, and ConfigMaps.</w:t>
      </w:r>
    </w:p>
    <w:p w14:paraId="09399CDD">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Example:</w:t>
      </w:r>
      <w:r>
        <w:rPr>
          <w:rFonts w:ascii="Arial" w:hAnsi="Arial" w:eastAsia="Arial" w:cs="Arial"/>
          <w:b w:val="0"/>
          <w:bCs w:val="0"/>
          <w:snapToGrid w:val="0"/>
          <w:color w:val="000000"/>
          <w:kern w:val="0"/>
          <w:sz w:val="24"/>
          <w:szCs w:val="21"/>
          <w:lang w:val="en-US" w:eastAsia="zh-CN" w:bidi="ar"/>
        </w:rPr>
        <w:br w:type="textWrapping"/>
      </w:r>
      <w:r>
        <w:rPr>
          <w:rFonts w:ascii="Arial" w:hAnsi="Arial" w:eastAsia="Arial" w:cs="Arial"/>
          <w:b w:val="0"/>
          <w:bCs w:val="0"/>
          <w:snapToGrid w:val="0"/>
          <w:color w:val="000000"/>
          <w:kern w:val="0"/>
          <w:sz w:val="24"/>
          <w:szCs w:val="21"/>
          <w:lang w:val="en-US" w:eastAsia="zh-CN" w:bidi="ar"/>
        </w:rPr>
        <w:t>kube-system — a namespace used by system components like the Kubernetes dashboard or DNS.</w:t>
      </w:r>
    </w:p>
    <w:p w14:paraId="35B4B744">
      <w:pPr>
        <w:pStyle w:val="3"/>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4. Role of the Kubelet and node checking</w:t>
      </w:r>
    </w:p>
    <w:p w14:paraId="230B2C14">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The Kubelet is an agent that runs on each node in the cluster. It ensures that containers described in Pod specifications are running and healthy. It communicates with the Kubernetes control plane to report node and Pod status.</w:t>
      </w:r>
    </w:p>
    <w:p w14:paraId="64E36A26">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To check the nodes in a Kubernetes cluster, use the command:</w:t>
      </w:r>
    </w:p>
    <w:p w14:paraId="43A346D0">
      <w:pPr>
        <w:pStyle w:val="7"/>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kubectl get nodes</w:t>
      </w:r>
    </w:p>
    <w:p w14:paraId="2FD2A33D">
      <w:pPr>
        <w:pStyle w:val="3"/>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5. ClusterIP vs NodePort vs LoadBalancer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86"/>
        <w:gridCol w:w="3187"/>
        <w:gridCol w:w="3187"/>
      </w:tblGrid>
      <w:tr w14:paraId="2D8B7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86" w:type="dxa"/>
            <w:vAlign w:val="center"/>
          </w:tcPr>
          <w:p w14:paraId="6D7D1180">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Type</w:t>
            </w:r>
          </w:p>
        </w:tc>
        <w:tc>
          <w:tcPr>
            <w:tcW w:w="3187" w:type="dxa"/>
            <w:vAlign w:val="center"/>
          </w:tcPr>
          <w:p w14:paraId="39AF7DB2">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Description</w:t>
            </w:r>
          </w:p>
        </w:tc>
        <w:tc>
          <w:tcPr>
            <w:tcW w:w="3187" w:type="dxa"/>
            <w:vAlign w:val="center"/>
          </w:tcPr>
          <w:p w14:paraId="7458459E">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Accessibility</w:t>
            </w:r>
          </w:p>
        </w:tc>
      </w:tr>
      <w:tr w14:paraId="4CA2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86" w:type="dxa"/>
            <w:vAlign w:val="center"/>
          </w:tcPr>
          <w:p w14:paraId="13AE98B7">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ClusterIP</w:t>
            </w:r>
          </w:p>
        </w:tc>
        <w:tc>
          <w:tcPr>
            <w:tcW w:w="3187" w:type="dxa"/>
            <w:vAlign w:val="center"/>
          </w:tcPr>
          <w:p w14:paraId="6D9C094A">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Default service type. Exposes the service only inside the cluster.</w:t>
            </w:r>
          </w:p>
        </w:tc>
        <w:tc>
          <w:tcPr>
            <w:tcW w:w="3187" w:type="dxa"/>
            <w:vAlign w:val="center"/>
          </w:tcPr>
          <w:p w14:paraId="75D3D36F">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Internal only</w:t>
            </w:r>
          </w:p>
        </w:tc>
      </w:tr>
      <w:tr w14:paraId="61B03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86" w:type="dxa"/>
            <w:vAlign w:val="center"/>
          </w:tcPr>
          <w:p w14:paraId="3FA6C13F">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NodePort</w:t>
            </w:r>
          </w:p>
        </w:tc>
        <w:tc>
          <w:tcPr>
            <w:tcW w:w="3187" w:type="dxa"/>
            <w:vAlign w:val="center"/>
          </w:tcPr>
          <w:p w14:paraId="1E333A2C">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Exposes the service on a static port on each node’s IP, accessible externally via &lt;NodeIP&gt;:&lt;Port&gt;.</w:t>
            </w:r>
          </w:p>
        </w:tc>
        <w:tc>
          <w:tcPr>
            <w:tcW w:w="3187" w:type="dxa"/>
            <w:vAlign w:val="center"/>
          </w:tcPr>
          <w:p w14:paraId="422CECD7">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External access via node IP</w:t>
            </w:r>
          </w:p>
        </w:tc>
      </w:tr>
      <w:tr w14:paraId="0DE6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86" w:type="dxa"/>
            <w:vAlign w:val="center"/>
          </w:tcPr>
          <w:p w14:paraId="77ACEB7A">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LoadBalancer</w:t>
            </w:r>
          </w:p>
        </w:tc>
        <w:tc>
          <w:tcPr>
            <w:tcW w:w="3187" w:type="dxa"/>
            <w:vAlign w:val="center"/>
          </w:tcPr>
          <w:p w14:paraId="6B490C9E">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Provisions an external load balancer (usually cloud provider–managed) that distributes traffic to the Service.</w:t>
            </w:r>
          </w:p>
        </w:tc>
        <w:tc>
          <w:tcPr>
            <w:tcW w:w="3187" w:type="dxa"/>
            <w:vAlign w:val="center"/>
          </w:tcPr>
          <w:p w14:paraId="0DB72D1A">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External access via public IP</w:t>
            </w:r>
          </w:p>
        </w:tc>
      </w:tr>
    </w:tbl>
    <w:p w14:paraId="11AC8D34">
      <w:pPr>
        <w:keepNext w:val="0"/>
        <w:keepLines w:val="0"/>
        <w:widowControl/>
        <w:suppressLineNumbers w:val="0"/>
        <w:rPr>
          <w:rFonts w:ascii="Arial" w:hAnsi="Arial" w:eastAsia="Arial" w:cs="Arial"/>
          <w:b w:val="0"/>
          <w:bCs w:val="0"/>
          <w:snapToGrid w:val="0"/>
          <w:color w:val="000000"/>
          <w:kern w:val="0"/>
          <w:sz w:val="24"/>
          <w:szCs w:val="21"/>
          <w:lang w:val="en-US" w:eastAsia="zh-CN" w:bidi="ar"/>
        </w:rPr>
      </w:pPr>
    </w:p>
    <w:p w14:paraId="762C13CE">
      <w:pPr>
        <w:pStyle w:val="3"/>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6. Scale a Deployment to 5 replicas</w:t>
      </w:r>
    </w:p>
    <w:p w14:paraId="5C7DEB3C">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You can scale a Deployment using:</w:t>
      </w:r>
    </w:p>
    <w:p w14:paraId="6EC6CB46">
      <w:pPr>
        <w:pStyle w:val="7"/>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kubectl scale deployment &lt;deployment-name&gt; --replicas=5</w:t>
      </w:r>
    </w:p>
    <w:p w14:paraId="7D325CDE">
      <w:pPr>
        <w:pStyle w:val="3"/>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7. Update a Deployment image without downtime</w:t>
      </w:r>
    </w:p>
    <w:p w14:paraId="0D29932B">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Use the following c</w:t>
      </w:r>
      <w:bookmarkStart w:id="0" w:name="_GoBack"/>
      <w:bookmarkEnd w:id="0"/>
      <w:r>
        <w:rPr>
          <w:rFonts w:ascii="Arial" w:hAnsi="Arial" w:eastAsia="Arial" w:cs="Arial"/>
          <w:b w:val="0"/>
          <w:bCs w:val="0"/>
          <w:snapToGrid w:val="0"/>
          <w:color w:val="000000"/>
          <w:kern w:val="0"/>
          <w:sz w:val="24"/>
          <w:szCs w:val="21"/>
          <w:lang w:val="en-US" w:eastAsia="zh-CN" w:bidi="ar"/>
        </w:rPr>
        <w:t>ommand for a rolling update:</w:t>
      </w:r>
    </w:p>
    <w:p w14:paraId="2BF9D0D8">
      <w:pPr>
        <w:pStyle w:val="7"/>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kubectl set image deployment/&lt;deployment-name&gt; &lt;container-name&gt;=&lt;new-image&gt;</w:t>
      </w:r>
    </w:p>
    <w:p w14:paraId="000EB665">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Kubernetes will gradually replace old Pods with new ones, ensuring continuous availability during the update.</w:t>
      </w:r>
    </w:p>
    <w:p w14:paraId="1286AB8F">
      <w:pPr>
        <w:pStyle w:val="3"/>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8. Expose a Deployment to external traffic</w:t>
      </w:r>
    </w:p>
    <w:p w14:paraId="2B025525">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You can expose a Deployment using:</w:t>
      </w:r>
    </w:p>
    <w:p w14:paraId="24D3BB72">
      <w:pPr>
        <w:pStyle w:val="7"/>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kubectl expose deployment &lt;deployment-name&gt; --type=LoadBalancer --port=80</w:t>
      </w:r>
    </w:p>
    <w:p w14:paraId="28A65414">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This command creates a Service of type LoadBalancer, making it reachable from outside the cluster.</w:t>
      </w:r>
    </w:p>
    <w:p w14:paraId="6B6D12A7">
      <w:pPr>
        <w:pStyle w:val="3"/>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9. Kubernetes scheduling decision</w:t>
      </w:r>
    </w:p>
    <w:p w14:paraId="622C2CBC">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Kubernetes scheduling decides which node a Pod runs on by evaluating resource availability, taints and tolerations, node selectors/affinity, and workload distribution policies. The scheduler matches Pods to nodes that meet their CPU/memory requests and constraints, ensuring balanced and efficient resource usage.</w:t>
      </w:r>
    </w:p>
    <w:p w14:paraId="57B14C71">
      <w:pPr>
        <w:pStyle w:val="3"/>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10. Role of Ingress vs Service</w:t>
      </w:r>
    </w:p>
    <w:p w14:paraId="5F6C69BE">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Ingress manages HTTP and HTTPS routing from outside the cluster to internal Services. It acts like an intelligent layer-7 load balancer and supports path-based or host-based routing, SSL termination, and virtual hosting.</w:t>
      </w:r>
    </w:p>
    <w:p w14:paraId="2538BFF8">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r>
        <w:rPr>
          <w:rFonts w:ascii="Arial" w:hAnsi="Arial" w:eastAsia="Arial" w:cs="Arial"/>
          <w:b w:val="0"/>
          <w:bCs w:val="0"/>
          <w:snapToGrid w:val="0"/>
          <w:color w:val="000000"/>
          <w:kern w:val="0"/>
          <w:sz w:val="24"/>
          <w:szCs w:val="21"/>
          <w:lang w:val="en-US" w:eastAsia="zh-CN" w:bidi="ar"/>
        </w:rPr>
        <w:t>Service only exposes Pods (usually via ClusterIP, NodePort, or LoadBalancer) but does not handle advanced routing or URL paths.</w:t>
      </w:r>
      <w:r>
        <w:rPr>
          <w:rFonts w:ascii="Arial" w:hAnsi="Arial" w:eastAsia="Arial" w:cs="Arial"/>
          <w:b w:val="0"/>
          <w:bCs w:val="0"/>
          <w:snapToGrid w:val="0"/>
          <w:color w:val="000000"/>
          <w:kern w:val="0"/>
          <w:sz w:val="24"/>
          <w:szCs w:val="21"/>
          <w:lang w:val="en-US" w:eastAsia="zh-CN" w:bidi="ar"/>
        </w:rPr>
        <w:br w:type="textWrapping"/>
      </w:r>
      <w:r>
        <w:rPr>
          <w:rFonts w:ascii="Arial" w:hAnsi="Arial" w:eastAsia="Arial" w:cs="Arial"/>
          <w:b w:val="0"/>
          <w:bCs w:val="0"/>
          <w:snapToGrid w:val="0"/>
          <w:color w:val="000000"/>
          <w:kern w:val="0"/>
          <w:sz w:val="24"/>
          <w:szCs w:val="21"/>
          <w:lang w:val="en-US" w:eastAsia="zh-CN" w:bidi="ar"/>
        </w:rPr>
        <w:t>Thus, Ingress provides centralized traffic management for multiple Services under one public IP.</w:t>
      </w:r>
    </w:p>
    <w:p w14:paraId="3F2559DB">
      <w:pPr>
        <w:pStyle w:val="8"/>
        <w:keepNext w:val="0"/>
        <w:keepLines w:val="0"/>
        <w:widowControl/>
        <w:suppressLineNumbers w:val="0"/>
        <w:rPr>
          <w:rFonts w:ascii="Arial" w:hAnsi="Arial" w:eastAsia="Arial" w:cs="Arial"/>
          <w:b w:val="0"/>
          <w:bCs w:val="0"/>
          <w:snapToGrid w:val="0"/>
          <w:color w:val="000000"/>
          <w:kern w:val="0"/>
          <w:sz w:val="24"/>
          <w:szCs w:val="21"/>
          <w:lang w:val="en-US" w:eastAsia="zh-CN" w:bidi="ar"/>
        </w:rPr>
      </w:pPr>
    </w:p>
    <w:p w14:paraId="1FE6B670"/>
    <w:p w14:paraId="17873192">
      <w:pPr>
        <w:pStyle w:val="5"/>
        <w:spacing w:before="251" w:line="262" w:lineRule="auto"/>
        <w:ind w:right="3" w:firstLine="1"/>
        <w:jc w:val="both"/>
        <w:rPr>
          <w:rFonts w:hint="eastAsia" w:ascii="Arial" w:hAnsi="Arial" w:eastAsia="Arial" w:cs="Arial"/>
          <w:snapToGrid w:val="0"/>
          <w:color w:val="000000"/>
          <w:kern w:val="0"/>
          <w:sz w:val="21"/>
          <w:szCs w:val="21"/>
          <w:lang w:val="en-US" w:eastAsia="en-US" w:bidi="ar-SA"/>
        </w:rPr>
      </w:pPr>
    </w:p>
    <w:sectPr>
      <w:headerReference r:id="rId5" w:type="default"/>
      <w:footerReference r:id="rId6" w:type="default"/>
      <w:pgSz w:w="11905" w:h="16838"/>
      <w:pgMar w:top="400" w:right="1161" w:bottom="1097" w:left="1400" w:header="0" w:footer="83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CC1F6">
    <w:pPr>
      <w:pStyle w:val="5"/>
      <w:spacing w:line="252" w:lineRule="exact"/>
      <w:ind w:left="4622"/>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84F99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B84F99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7FF58">
    <w:pPr>
      <w:pStyle w:val="5"/>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A437D4"/>
    <w:multiLevelType w:val="singleLevel"/>
    <w:tmpl w:val="E3A437D4"/>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10534754"/>
    <w:rsid w:val="12CB18A0"/>
    <w:rsid w:val="24CE67A1"/>
    <w:rsid w:val="2B006133"/>
    <w:rsid w:val="2EB57234"/>
    <w:rsid w:val="31603DCF"/>
    <w:rsid w:val="3224724F"/>
    <w:rsid w:val="3B253993"/>
    <w:rsid w:val="3EA93CD3"/>
    <w:rsid w:val="404D13B2"/>
    <w:rsid w:val="407C5E04"/>
    <w:rsid w:val="420C31B7"/>
    <w:rsid w:val="4FF166B7"/>
    <w:rsid w:val="508A1E77"/>
    <w:rsid w:val="5F5D4BFA"/>
    <w:rsid w:val="62CD7EA4"/>
    <w:rsid w:val="63343EC4"/>
    <w:rsid w:val="797177C8"/>
    <w:rsid w:val="7A2465E9"/>
    <w:rsid w:val="7EBE0D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List Bullet"/>
    <w:basedOn w:val="1"/>
    <w:qFormat/>
    <w:uiPriority w:val="0"/>
    <w:pPr>
      <w:numPr>
        <w:ilvl w:val="0"/>
        <w:numId w:val="1"/>
      </w:numPr>
    </w:pPr>
  </w:style>
  <w:style w:type="paragraph" w:styleId="5">
    <w:name w:val="Body Text"/>
    <w:basedOn w:val="1"/>
    <w:semiHidden/>
    <w:qFormat/>
    <w:uiPriority w:val="0"/>
    <w:rPr>
      <w:rFonts w:ascii="Arial" w:hAnsi="Arial" w:eastAsia="Arial" w:cs="Arial"/>
      <w:sz w:val="21"/>
      <w:szCs w:val="21"/>
      <w:lang w:val="en-US" w:eastAsia="en-US" w:bidi="ar-SA"/>
    </w:rPr>
  </w:style>
  <w:style w:type="paragraph" w:styleId="6">
    <w:name w:val="footer"/>
    <w:basedOn w:val="1"/>
    <w:qFormat/>
    <w:uiPriority w:val="0"/>
    <w:pPr>
      <w:tabs>
        <w:tab w:val="center" w:pos="4153"/>
        <w:tab w:val="right" w:pos="8306"/>
      </w:tabs>
      <w:snapToGrid w:val="0"/>
      <w:jc w:val="left"/>
    </w:pPr>
    <w:rPr>
      <w:sz w:val="18"/>
    </w:r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395</Words>
  <Characters>2358</Characters>
  <TotalTime>0</TotalTime>
  <ScaleCrop>false</ScaleCrop>
  <LinksUpToDate>false</LinksUpToDate>
  <CharactersWithSpaces>2816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2025-12-12T02:25:00Z</dcterms:created>
  <dc:creator>杜熙蕾</dc:creator>
  <cp:lastModifiedBy>momo</cp:lastModifiedBy>
  <dcterms:modified xsi:type="dcterms:W3CDTF">2025-12-12T13:24:28Z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2025-12-12T10:26:42Z</vt:filetime>
  </property>
  <property fmtid="{D5CDD505-2E9C-101B-9397-08002B2CF9AE}" pid="4" name="KSOTemplateDocerSaveRecord">
    <vt:lpwstr>eyJoZGlkIjoiYWJlYTRkYWVlM2QyZjAyYjc3ODA1MmY5YTUxMjM3ODMiLCJ1c2VySWQiOiIxMjcxNTYwMjU2In0=</vt:lpwstr>
  </property>
  <property fmtid="{D5CDD505-2E9C-101B-9397-08002B2CF9AE}" pid="5" name="KSOProductBuildVer">
    <vt:lpwstr>2052-12.1.0.24034</vt:lpwstr>
  </property>
  <property fmtid="{D5CDD505-2E9C-101B-9397-08002B2CF9AE}" pid="6" name="ICV">
    <vt:lpwstr>16876F9384914DA3B786A01963236CEB_13</vt:lpwstr>
  </property>
</Properties>
</file>