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5E72" w:rsidRDefault="00E65E72" w:rsidP="00F01DE9">
      <w:pPr>
        <w:spacing w:after="0"/>
      </w:pPr>
    </w:p>
    <w:tbl>
      <w:tblPr>
        <w:tblW w:w="0" w:type="auto"/>
        <w:tblCellMar>
          <w:left w:w="70" w:type="dxa"/>
          <w:right w:w="70" w:type="dxa"/>
        </w:tblCellMar>
        <w:tblLook w:val="0000" w:firstRow="0" w:lastRow="0" w:firstColumn="0" w:lastColumn="0" w:noHBand="0" w:noVBand="0"/>
      </w:tblPr>
      <w:tblGrid>
        <w:gridCol w:w="5977"/>
        <w:gridCol w:w="5672"/>
        <w:gridCol w:w="1861"/>
        <w:gridCol w:w="1039"/>
        <w:gridCol w:w="1861"/>
      </w:tblGrid>
      <w:tr w:rsidR="00107C2A" w:rsidRPr="00EA0A07" w:rsidTr="00107C2A">
        <w:trPr>
          <w:trHeight w:val="227"/>
        </w:trPr>
        <w:tc>
          <w:tcPr>
            <w:tcW w:w="0" w:type="auto"/>
            <w:gridSpan w:val="5"/>
            <w:tcBorders>
              <w:top w:val="single" w:sz="6" w:space="0" w:color="000000"/>
              <w:left w:val="single" w:sz="6" w:space="0" w:color="000000"/>
              <w:bottom w:val="single" w:sz="4" w:space="0" w:color="auto"/>
              <w:right w:val="single" w:sz="6" w:space="0" w:color="000000"/>
            </w:tcBorders>
          </w:tcPr>
          <w:p w:rsidR="00107C2A" w:rsidRDefault="00107C2A" w:rsidP="00107C2A">
            <w:pPr>
              <w:autoSpaceDE w:val="0"/>
              <w:autoSpaceDN w:val="0"/>
              <w:adjustRightInd w:val="0"/>
              <w:spacing w:after="0" w:line="240" w:lineRule="auto"/>
              <w:jc w:val="center"/>
              <w:rPr>
                <w:rFonts w:ascii="Arial" w:hAnsi="Arial" w:cs="Arial"/>
                <w:b/>
                <w:bCs/>
                <w:color w:val="000000"/>
                <w:sz w:val="20"/>
                <w:szCs w:val="20"/>
              </w:rPr>
            </w:pPr>
            <w:r w:rsidRPr="00EA0A07">
              <w:rPr>
                <w:rFonts w:ascii="Arial" w:hAnsi="Arial" w:cs="Arial"/>
                <w:b/>
                <w:bCs/>
                <w:color w:val="000000"/>
                <w:sz w:val="20"/>
                <w:szCs w:val="20"/>
              </w:rPr>
              <w:t>LISTA DE VERIFICAÇÃO / RELATÓRIO DE AUDITORIA</w:t>
            </w:r>
          </w:p>
          <w:p w:rsidR="00C026D7" w:rsidRDefault="00C026D7" w:rsidP="00C026D7">
            <w:pPr>
              <w:spacing w:after="0" w:line="240" w:lineRule="auto"/>
              <w:jc w:val="center"/>
              <w:rPr>
                <w:rFonts w:ascii="Arial" w:eastAsia="Times New Roman" w:hAnsi="Arial" w:cs="Arial"/>
                <w:b/>
                <w:bCs/>
                <w:sz w:val="20"/>
                <w:szCs w:val="20"/>
                <w:lang w:eastAsia="pt-BR"/>
              </w:rPr>
            </w:pPr>
            <w:r w:rsidRPr="00DC70FF">
              <w:rPr>
                <w:rFonts w:ascii="Arial" w:eastAsia="Times New Roman" w:hAnsi="Arial" w:cs="Arial"/>
                <w:b/>
                <w:bCs/>
                <w:sz w:val="20"/>
                <w:szCs w:val="20"/>
                <w:lang w:eastAsia="pt-BR"/>
              </w:rPr>
              <w:t>Manual da ONA - versão 2022</w:t>
            </w:r>
          </w:p>
          <w:p w:rsidR="00107C2A" w:rsidRPr="00EA0A07" w:rsidRDefault="00C026D7" w:rsidP="00107C2A">
            <w:pPr>
              <w:autoSpaceDE w:val="0"/>
              <w:autoSpaceDN w:val="0"/>
              <w:adjustRightInd w:val="0"/>
              <w:spacing w:after="0" w:line="240" w:lineRule="auto"/>
              <w:jc w:val="center"/>
              <w:rPr>
                <w:rFonts w:ascii="Arial" w:hAnsi="Arial" w:cs="Arial"/>
                <w:color w:val="000000"/>
                <w:sz w:val="20"/>
                <w:szCs w:val="20"/>
              </w:rPr>
            </w:pPr>
            <w:r w:rsidRPr="000367A4">
              <w:rPr>
                <w:rFonts w:ascii="Arial" w:hAnsi="Arial" w:cs="Arial"/>
                <w:b/>
                <w:bCs/>
                <w:color w:val="FF0000"/>
                <w:sz w:val="28"/>
                <w:szCs w:val="20"/>
              </w:rPr>
              <w:t>Subseção 2.10 Assistência Oncológica e Terapia Antineoplásica</w:t>
            </w:r>
          </w:p>
        </w:tc>
      </w:tr>
      <w:tr w:rsidR="00107C2A" w:rsidRPr="00EA0A07" w:rsidTr="00107C2A">
        <w:trPr>
          <w:trHeight w:val="227"/>
        </w:trPr>
        <w:tc>
          <w:tcPr>
            <w:tcW w:w="0" w:type="auto"/>
            <w:tcBorders>
              <w:top w:val="single" w:sz="4" w:space="0" w:color="auto"/>
              <w:left w:val="single" w:sz="4" w:space="0" w:color="auto"/>
              <w:bottom w:val="single" w:sz="4" w:space="0" w:color="auto"/>
              <w:right w:val="single" w:sz="4" w:space="0" w:color="auto"/>
            </w:tcBorders>
            <w:shd w:val="solid" w:color="008080" w:fill="auto"/>
          </w:tcPr>
          <w:p w:rsidR="00107C2A" w:rsidRPr="00EA0A07" w:rsidRDefault="00107C2A" w:rsidP="00107C2A">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SEÇÃO 2 - ATENÇÃO AO PACIENTE</w:t>
            </w:r>
          </w:p>
        </w:tc>
        <w:tc>
          <w:tcPr>
            <w:tcW w:w="0" w:type="auto"/>
            <w:tcBorders>
              <w:top w:val="single" w:sz="4" w:space="0" w:color="auto"/>
              <w:left w:val="single" w:sz="4" w:space="0" w:color="auto"/>
              <w:bottom w:val="single" w:sz="4" w:space="0" w:color="auto"/>
              <w:right w:val="single" w:sz="4" w:space="0" w:color="auto"/>
            </w:tcBorders>
            <w:shd w:val="solid" w:color="008080" w:fill="008080"/>
          </w:tcPr>
          <w:p w:rsidR="00107C2A" w:rsidRPr="00EA0A07" w:rsidRDefault="00107C2A" w:rsidP="00107C2A">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Sistema de Avaliação para a Acreditação</w:t>
            </w:r>
          </w:p>
        </w:tc>
        <w:tc>
          <w:tcPr>
            <w:tcW w:w="0" w:type="auto"/>
            <w:gridSpan w:val="3"/>
            <w:tcBorders>
              <w:top w:val="single" w:sz="4" w:space="0" w:color="auto"/>
              <w:left w:val="single" w:sz="4" w:space="0" w:color="auto"/>
              <w:bottom w:val="single" w:sz="4" w:space="0" w:color="auto"/>
              <w:right w:val="single" w:sz="4" w:space="0" w:color="auto"/>
            </w:tcBorders>
            <w:shd w:val="solid" w:color="008080" w:fill="008080"/>
          </w:tcPr>
          <w:p w:rsidR="00107C2A" w:rsidRPr="00EA0A07" w:rsidRDefault="00107C2A" w:rsidP="00107C2A">
            <w:pPr>
              <w:autoSpaceDE w:val="0"/>
              <w:autoSpaceDN w:val="0"/>
              <w:adjustRightInd w:val="0"/>
              <w:spacing w:after="0" w:line="240" w:lineRule="auto"/>
              <w:jc w:val="center"/>
              <w:rPr>
                <w:rFonts w:ascii="Arial" w:hAnsi="Arial" w:cs="Arial"/>
                <w:color w:val="000000"/>
                <w:sz w:val="20"/>
                <w:szCs w:val="20"/>
              </w:rPr>
            </w:pPr>
            <w:r w:rsidRPr="00EA0A07">
              <w:rPr>
                <w:rFonts w:ascii="Arial" w:hAnsi="Arial" w:cs="Arial"/>
                <w:b/>
                <w:bCs/>
                <w:color w:val="FFFFFF"/>
                <w:sz w:val="20"/>
                <w:szCs w:val="20"/>
              </w:rPr>
              <w:t>Auditoria de Conformidade</w:t>
            </w:r>
          </w:p>
        </w:tc>
      </w:tr>
      <w:tr w:rsidR="00107C2A" w:rsidRPr="00EA0A07" w:rsidTr="00107C2A">
        <w:trPr>
          <w:trHeight w:val="227"/>
        </w:trPr>
        <w:tc>
          <w:tcPr>
            <w:tcW w:w="0" w:type="auto"/>
            <w:gridSpan w:val="2"/>
            <w:tcBorders>
              <w:top w:val="single" w:sz="4" w:space="0" w:color="auto"/>
              <w:left w:val="single" w:sz="4" w:space="0" w:color="auto"/>
              <w:bottom w:val="single" w:sz="4" w:space="0" w:color="auto"/>
              <w:right w:val="single" w:sz="4" w:space="0" w:color="auto"/>
            </w:tcBorders>
          </w:tcPr>
          <w:p w:rsidR="00107C2A" w:rsidRPr="00EA0A07" w:rsidRDefault="00107C2A" w:rsidP="00574EA9">
            <w:pPr>
              <w:autoSpaceDE w:val="0"/>
              <w:autoSpaceDN w:val="0"/>
              <w:adjustRightInd w:val="0"/>
              <w:spacing w:after="0" w:line="240" w:lineRule="auto"/>
              <w:rPr>
                <w:rFonts w:ascii="Arial" w:hAnsi="Arial" w:cs="Arial"/>
                <w:b/>
                <w:bCs/>
                <w:color w:val="000000"/>
                <w:sz w:val="20"/>
                <w:szCs w:val="20"/>
              </w:rPr>
            </w:pPr>
            <w:r w:rsidRPr="00EA0A07">
              <w:rPr>
                <w:rFonts w:ascii="Arial" w:hAnsi="Arial" w:cs="Arial"/>
                <w:b/>
                <w:bCs/>
                <w:color w:val="000000"/>
                <w:sz w:val="20"/>
                <w:szCs w:val="20"/>
              </w:rPr>
              <w:t xml:space="preserve">Setor Auditado: </w:t>
            </w:r>
          </w:p>
        </w:tc>
        <w:tc>
          <w:tcPr>
            <w:tcW w:w="0" w:type="auto"/>
            <w:tcBorders>
              <w:top w:val="single" w:sz="4" w:space="0" w:color="auto"/>
              <w:left w:val="single" w:sz="4" w:space="0" w:color="auto"/>
              <w:bottom w:val="single" w:sz="4" w:space="0" w:color="auto"/>
              <w:right w:val="single" w:sz="4" w:space="0" w:color="auto"/>
            </w:tcBorders>
            <w:shd w:val="solid" w:color="FFFFFF" w:fill="FFFFFF"/>
          </w:tcPr>
          <w:p w:rsidR="00107C2A" w:rsidRPr="00EA0A07" w:rsidRDefault="00107C2A" w:rsidP="00107C2A">
            <w:pPr>
              <w:autoSpaceDE w:val="0"/>
              <w:autoSpaceDN w:val="0"/>
              <w:adjustRightInd w:val="0"/>
              <w:spacing w:after="0" w:line="240" w:lineRule="auto"/>
              <w:jc w:val="center"/>
              <w:rPr>
                <w:rFonts w:ascii="Arial" w:hAnsi="Arial" w:cs="Arial"/>
                <w:b/>
                <w:bCs/>
                <w:color w:val="000000"/>
                <w:sz w:val="20"/>
                <w:szCs w:val="20"/>
              </w:rPr>
            </w:pPr>
            <w:r w:rsidRPr="00EA0A07">
              <w:rPr>
                <w:rFonts w:ascii="Arial" w:hAnsi="Arial" w:cs="Arial"/>
                <w:b/>
                <w:bCs/>
                <w:color w:val="000000"/>
                <w:sz w:val="20"/>
                <w:szCs w:val="20"/>
              </w:rPr>
              <w:t>Resultado</w:t>
            </w:r>
          </w:p>
        </w:tc>
        <w:tc>
          <w:tcPr>
            <w:tcW w:w="0" w:type="auto"/>
            <w:tcBorders>
              <w:top w:val="single" w:sz="4" w:space="0" w:color="auto"/>
              <w:left w:val="single" w:sz="4" w:space="0" w:color="auto"/>
              <w:bottom w:val="single" w:sz="4" w:space="0" w:color="auto"/>
              <w:right w:val="single" w:sz="4" w:space="0" w:color="auto"/>
            </w:tcBorders>
            <w:shd w:val="solid" w:color="FFFFFF" w:fill="FFFFFF"/>
          </w:tcPr>
          <w:p w:rsidR="00107C2A" w:rsidRPr="00EA0A07" w:rsidRDefault="00107C2A" w:rsidP="00107C2A">
            <w:pPr>
              <w:autoSpaceDE w:val="0"/>
              <w:autoSpaceDN w:val="0"/>
              <w:adjustRightInd w:val="0"/>
              <w:spacing w:after="0" w:line="240" w:lineRule="auto"/>
              <w:jc w:val="center"/>
              <w:rPr>
                <w:rFonts w:ascii="Arial" w:hAnsi="Arial" w:cs="Arial"/>
                <w:b/>
                <w:bCs/>
                <w:color w:val="000000"/>
                <w:sz w:val="20"/>
                <w:szCs w:val="20"/>
              </w:rPr>
            </w:pPr>
            <w:r w:rsidRPr="00EA0A07">
              <w:rPr>
                <w:rFonts w:ascii="Arial" w:hAnsi="Arial" w:cs="Arial"/>
                <w:b/>
                <w:bCs/>
                <w:color w:val="000000"/>
                <w:sz w:val="20"/>
                <w:szCs w:val="20"/>
              </w:rPr>
              <w:t>Total</w:t>
            </w:r>
          </w:p>
        </w:tc>
        <w:tc>
          <w:tcPr>
            <w:tcW w:w="0" w:type="auto"/>
            <w:tcBorders>
              <w:top w:val="single" w:sz="4" w:space="0" w:color="auto"/>
              <w:left w:val="single" w:sz="4" w:space="0" w:color="auto"/>
              <w:bottom w:val="single" w:sz="4" w:space="0" w:color="auto"/>
              <w:right w:val="single" w:sz="4" w:space="0" w:color="auto"/>
            </w:tcBorders>
            <w:shd w:val="solid" w:color="FFFFFF" w:fill="FFFFFF"/>
          </w:tcPr>
          <w:p w:rsidR="00107C2A" w:rsidRPr="00EA0A07" w:rsidRDefault="00107C2A" w:rsidP="00107C2A">
            <w:pPr>
              <w:autoSpaceDE w:val="0"/>
              <w:autoSpaceDN w:val="0"/>
              <w:adjustRightInd w:val="0"/>
              <w:spacing w:after="0" w:line="240" w:lineRule="auto"/>
              <w:jc w:val="center"/>
              <w:rPr>
                <w:rFonts w:ascii="Arial" w:hAnsi="Arial" w:cs="Arial"/>
                <w:b/>
                <w:bCs/>
                <w:color w:val="000000"/>
                <w:sz w:val="20"/>
                <w:szCs w:val="20"/>
              </w:rPr>
            </w:pPr>
            <w:r w:rsidRPr="00EA0A07">
              <w:rPr>
                <w:rFonts w:ascii="Arial" w:hAnsi="Arial" w:cs="Arial"/>
                <w:b/>
                <w:bCs/>
                <w:color w:val="000000"/>
                <w:sz w:val="20"/>
                <w:szCs w:val="20"/>
              </w:rPr>
              <w:t>Resultado</w:t>
            </w:r>
          </w:p>
        </w:tc>
      </w:tr>
      <w:tr w:rsidR="00107C2A" w:rsidRPr="00EA0A07" w:rsidTr="00107C2A">
        <w:trPr>
          <w:trHeight w:val="227"/>
        </w:trPr>
        <w:tc>
          <w:tcPr>
            <w:tcW w:w="0" w:type="auto"/>
            <w:tcBorders>
              <w:top w:val="single" w:sz="4" w:space="0" w:color="auto"/>
              <w:left w:val="single" w:sz="4" w:space="0" w:color="auto"/>
              <w:bottom w:val="single" w:sz="4" w:space="0" w:color="auto"/>
              <w:right w:val="single" w:sz="4" w:space="0" w:color="auto"/>
            </w:tcBorders>
          </w:tcPr>
          <w:p w:rsidR="00107C2A" w:rsidRPr="00EA0A07" w:rsidRDefault="00107C2A" w:rsidP="00107C2A">
            <w:pPr>
              <w:autoSpaceDE w:val="0"/>
              <w:autoSpaceDN w:val="0"/>
              <w:adjustRightInd w:val="0"/>
              <w:spacing w:after="0" w:line="240" w:lineRule="auto"/>
              <w:rPr>
                <w:rFonts w:ascii="Arial" w:hAnsi="Arial" w:cs="Arial"/>
                <w:b/>
                <w:bCs/>
                <w:color w:val="000000"/>
                <w:sz w:val="20"/>
                <w:szCs w:val="20"/>
              </w:rPr>
            </w:pPr>
            <w:r w:rsidRPr="00EA0A07">
              <w:rPr>
                <w:rFonts w:ascii="Arial" w:hAnsi="Arial" w:cs="Arial"/>
                <w:b/>
                <w:bCs/>
                <w:color w:val="000000"/>
                <w:sz w:val="20"/>
                <w:szCs w:val="20"/>
              </w:rPr>
              <w:t xml:space="preserve">Auditor Líder: </w:t>
            </w:r>
            <w:r w:rsidRPr="00A8244F">
              <w:rPr>
                <w:rFonts w:ascii="Arial" w:hAnsi="Arial" w:cs="Arial"/>
                <w:bCs/>
                <w:color w:val="000000"/>
                <w:sz w:val="20"/>
                <w:szCs w:val="20"/>
              </w:rPr>
              <w:t>Andrea</w:t>
            </w:r>
          </w:p>
        </w:tc>
        <w:tc>
          <w:tcPr>
            <w:tcW w:w="0" w:type="auto"/>
            <w:tcBorders>
              <w:top w:val="single" w:sz="4" w:space="0" w:color="auto"/>
              <w:left w:val="single" w:sz="4" w:space="0" w:color="auto"/>
              <w:bottom w:val="single" w:sz="4" w:space="0" w:color="auto"/>
              <w:right w:val="single" w:sz="4" w:space="0" w:color="auto"/>
            </w:tcBorders>
          </w:tcPr>
          <w:p w:rsidR="00107C2A" w:rsidRPr="00EA0A07" w:rsidRDefault="00107C2A" w:rsidP="00107C2A">
            <w:pPr>
              <w:autoSpaceDE w:val="0"/>
              <w:autoSpaceDN w:val="0"/>
              <w:adjustRightInd w:val="0"/>
              <w:spacing w:after="0" w:line="240" w:lineRule="auto"/>
              <w:rPr>
                <w:rFonts w:ascii="Arial" w:hAnsi="Arial" w:cs="Arial"/>
                <w:color w:val="000000"/>
                <w:sz w:val="20"/>
                <w:szCs w:val="20"/>
              </w:rPr>
            </w:pPr>
            <w:r w:rsidRPr="00EA0A07">
              <w:rPr>
                <w:rFonts w:ascii="Arial" w:hAnsi="Arial" w:cs="Arial"/>
                <w:b/>
                <w:bCs/>
                <w:color w:val="000000"/>
                <w:sz w:val="20"/>
                <w:szCs w:val="20"/>
              </w:rPr>
              <w:t>S: Supera (1,2)</w:t>
            </w:r>
          </w:p>
        </w:tc>
        <w:tc>
          <w:tcPr>
            <w:tcW w:w="0" w:type="auto"/>
            <w:tcBorders>
              <w:top w:val="single" w:sz="4" w:space="0" w:color="auto"/>
              <w:left w:val="single" w:sz="4" w:space="0" w:color="auto"/>
              <w:bottom w:val="single" w:sz="4" w:space="0" w:color="auto"/>
              <w:right w:val="single" w:sz="4" w:space="0" w:color="auto"/>
            </w:tcBorders>
          </w:tcPr>
          <w:p w:rsidR="00107C2A" w:rsidRPr="00EA0A07" w:rsidRDefault="00107C2A" w:rsidP="00107C2A">
            <w:pPr>
              <w:autoSpaceDE w:val="0"/>
              <w:autoSpaceDN w:val="0"/>
              <w:adjustRightInd w:val="0"/>
              <w:spacing w:after="0" w:line="240" w:lineRule="auto"/>
              <w:jc w:val="right"/>
              <w:rPr>
                <w:rFonts w:ascii="Arial" w:hAnsi="Arial" w:cs="Arial"/>
                <w:b/>
                <w:bCs/>
                <w:color w:val="000000"/>
                <w:sz w:val="20"/>
                <w:szCs w:val="20"/>
              </w:rPr>
            </w:pPr>
          </w:p>
        </w:tc>
        <w:tc>
          <w:tcPr>
            <w:tcW w:w="0" w:type="auto"/>
            <w:tcBorders>
              <w:top w:val="single" w:sz="4" w:space="0" w:color="auto"/>
              <w:left w:val="single" w:sz="4" w:space="0" w:color="auto"/>
              <w:bottom w:val="single" w:sz="4" w:space="0" w:color="auto"/>
              <w:right w:val="single" w:sz="4" w:space="0" w:color="auto"/>
            </w:tcBorders>
          </w:tcPr>
          <w:p w:rsidR="00107C2A" w:rsidRPr="00EA0A07" w:rsidRDefault="00107C2A" w:rsidP="00107C2A">
            <w:pPr>
              <w:autoSpaceDE w:val="0"/>
              <w:autoSpaceDN w:val="0"/>
              <w:adjustRightInd w:val="0"/>
              <w:spacing w:after="0" w:line="240" w:lineRule="auto"/>
              <w:jc w:val="right"/>
              <w:rPr>
                <w:rFonts w:ascii="Arial" w:hAnsi="Arial" w:cs="Arial"/>
                <w:color w:val="000000"/>
                <w:sz w:val="20"/>
                <w:szCs w:val="20"/>
              </w:rPr>
            </w:pPr>
          </w:p>
        </w:tc>
        <w:tc>
          <w:tcPr>
            <w:tcW w:w="0" w:type="auto"/>
            <w:tcBorders>
              <w:top w:val="single" w:sz="4" w:space="0" w:color="auto"/>
              <w:left w:val="single" w:sz="4" w:space="0" w:color="auto"/>
              <w:bottom w:val="single" w:sz="4" w:space="0" w:color="auto"/>
              <w:right w:val="single" w:sz="4" w:space="0" w:color="auto"/>
            </w:tcBorders>
          </w:tcPr>
          <w:p w:rsidR="00107C2A" w:rsidRPr="00EA0A07" w:rsidRDefault="00107C2A" w:rsidP="00107C2A">
            <w:pPr>
              <w:autoSpaceDE w:val="0"/>
              <w:autoSpaceDN w:val="0"/>
              <w:adjustRightInd w:val="0"/>
              <w:spacing w:after="0" w:line="240" w:lineRule="auto"/>
              <w:jc w:val="right"/>
              <w:rPr>
                <w:rFonts w:ascii="Arial" w:hAnsi="Arial" w:cs="Arial"/>
                <w:color w:val="000000"/>
                <w:sz w:val="20"/>
                <w:szCs w:val="20"/>
              </w:rPr>
            </w:pPr>
          </w:p>
        </w:tc>
      </w:tr>
      <w:tr w:rsidR="00107C2A" w:rsidRPr="00EA0A07" w:rsidTr="00107C2A">
        <w:trPr>
          <w:trHeight w:val="227"/>
        </w:trPr>
        <w:tc>
          <w:tcPr>
            <w:tcW w:w="0" w:type="auto"/>
            <w:tcBorders>
              <w:top w:val="single" w:sz="4" w:space="0" w:color="auto"/>
              <w:left w:val="single" w:sz="4" w:space="0" w:color="auto"/>
              <w:bottom w:val="single" w:sz="4" w:space="0" w:color="auto"/>
              <w:right w:val="single" w:sz="4" w:space="0" w:color="auto"/>
            </w:tcBorders>
          </w:tcPr>
          <w:p w:rsidR="00107C2A" w:rsidRPr="00EA0A07" w:rsidRDefault="00107C2A" w:rsidP="00107C2A">
            <w:pPr>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Auditor Observador: </w:t>
            </w:r>
          </w:p>
        </w:tc>
        <w:tc>
          <w:tcPr>
            <w:tcW w:w="0" w:type="auto"/>
            <w:tcBorders>
              <w:top w:val="single" w:sz="4" w:space="0" w:color="auto"/>
              <w:left w:val="single" w:sz="4" w:space="0" w:color="auto"/>
              <w:bottom w:val="single" w:sz="4" w:space="0" w:color="auto"/>
              <w:right w:val="single" w:sz="4" w:space="0" w:color="auto"/>
            </w:tcBorders>
          </w:tcPr>
          <w:p w:rsidR="00107C2A" w:rsidRPr="00EA0A07" w:rsidRDefault="00107C2A" w:rsidP="00107C2A">
            <w:pPr>
              <w:autoSpaceDE w:val="0"/>
              <w:autoSpaceDN w:val="0"/>
              <w:adjustRightInd w:val="0"/>
              <w:spacing w:after="0" w:line="240" w:lineRule="auto"/>
              <w:rPr>
                <w:rFonts w:ascii="Arial" w:hAnsi="Arial" w:cs="Arial"/>
                <w:color w:val="000000"/>
                <w:sz w:val="20"/>
                <w:szCs w:val="20"/>
              </w:rPr>
            </w:pPr>
            <w:r w:rsidRPr="00EA0A07">
              <w:rPr>
                <w:rFonts w:ascii="Arial" w:hAnsi="Arial" w:cs="Arial"/>
                <w:b/>
                <w:bCs/>
                <w:color w:val="000000"/>
                <w:sz w:val="20"/>
                <w:szCs w:val="20"/>
              </w:rPr>
              <w:t>C: Conformidade (1,0)</w:t>
            </w:r>
          </w:p>
        </w:tc>
        <w:tc>
          <w:tcPr>
            <w:tcW w:w="0" w:type="auto"/>
            <w:tcBorders>
              <w:top w:val="single" w:sz="4" w:space="0" w:color="auto"/>
              <w:left w:val="single" w:sz="4" w:space="0" w:color="auto"/>
              <w:bottom w:val="single" w:sz="4" w:space="0" w:color="auto"/>
              <w:right w:val="single" w:sz="4" w:space="0" w:color="auto"/>
            </w:tcBorders>
          </w:tcPr>
          <w:p w:rsidR="00107C2A" w:rsidRPr="00EA0A07" w:rsidRDefault="00107C2A" w:rsidP="00107C2A">
            <w:pPr>
              <w:autoSpaceDE w:val="0"/>
              <w:autoSpaceDN w:val="0"/>
              <w:adjustRightInd w:val="0"/>
              <w:spacing w:after="0" w:line="240" w:lineRule="auto"/>
              <w:jc w:val="right"/>
              <w:rPr>
                <w:rFonts w:ascii="Arial" w:hAnsi="Arial" w:cs="Arial"/>
                <w:b/>
                <w:bCs/>
                <w:color w:val="000000"/>
                <w:sz w:val="20"/>
                <w:szCs w:val="20"/>
              </w:rPr>
            </w:pPr>
          </w:p>
        </w:tc>
        <w:tc>
          <w:tcPr>
            <w:tcW w:w="0" w:type="auto"/>
            <w:tcBorders>
              <w:top w:val="single" w:sz="4" w:space="0" w:color="auto"/>
              <w:left w:val="single" w:sz="4" w:space="0" w:color="auto"/>
              <w:bottom w:val="single" w:sz="4" w:space="0" w:color="auto"/>
              <w:right w:val="single" w:sz="4" w:space="0" w:color="auto"/>
            </w:tcBorders>
          </w:tcPr>
          <w:p w:rsidR="00107C2A" w:rsidRPr="00EA0A07" w:rsidRDefault="00107C2A" w:rsidP="00107C2A">
            <w:pPr>
              <w:autoSpaceDE w:val="0"/>
              <w:autoSpaceDN w:val="0"/>
              <w:adjustRightInd w:val="0"/>
              <w:spacing w:after="0" w:line="240" w:lineRule="auto"/>
              <w:jc w:val="right"/>
              <w:rPr>
                <w:rFonts w:ascii="Arial" w:hAnsi="Arial" w:cs="Arial"/>
                <w:color w:val="000000"/>
                <w:sz w:val="20"/>
                <w:szCs w:val="20"/>
              </w:rPr>
            </w:pPr>
          </w:p>
        </w:tc>
        <w:tc>
          <w:tcPr>
            <w:tcW w:w="0" w:type="auto"/>
            <w:tcBorders>
              <w:top w:val="single" w:sz="4" w:space="0" w:color="auto"/>
              <w:left w:val="single" w:sz="4" w:space="0" w:color="auto"/>
              <w:bottom w:val="single" w:sz="4" w:space="0" w:color="auto"/>
              <w:right w:val="single" w:sz="4" w:space="0" w:color="auto"/>
            </w:tcBorders>
          </w:tcPr>
          <w:p w:rsidR="00107C2A" w:rsidRPr="00EA0A07" w:rsidRDefault="00107C2A" w:rsidP="00107C2A">
            <w:pPr>
              <w:autoSpaceDE w:val="0"/>
              <w:autoSpaceDN w:val="0"/>
              <w:adjustRightInd w:val="0"/>
              <w:spacing w:after="0" w:line="240" w:lineRule="auto"/>
              <w:jc w:val="right"/>
              <w:rPr>
                <w:rFonts w:ascii="Arial" w:hAnsi="Arial" w:cs="Arial"/>
                <w:color w:val="000000"/>
                <w:sz w:val="20"/>
                <w:szCs w:val="20"/>
              </w:rPr>
            </w:pPr>
          </w:p>
        </w:tc>
      </w:tr>
      <w:tr w:rsidR="00107C2A" w:rsidRPr="00EA0A07" w:rsidTr="00107C2A">
        <w:trPr>
          <w:trHeight w:val="227"/>
        </w:trPr>
        <w:tc>
          <w:tcPr>
            <w:tcW w:w="0" w:type="auto"/>
            <w:tcBorders>
              <w:top w:val="single" w:sz="4" w:space="0" w:color="auto"/>
              <w:left w:val="single" w:sz="4" w:space="0" w:color="auto"/>
              <w:bottom w:val="single" w:sz="4" w:space="0" w:color="auto"/>
              <w:right w:val="single" w:sz="4" w:space="0" w:color="auto"/>
            </w:tcBorders>
          </w:tcPr>
          <w:p w:rsidR="00107C2A" w:rsidRPr="00EA0A07" w:rsidRDefault="00107C2A" w:rsidP="00574EA9">
            <w:pPr>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Entrevistado (s)</w:t>
            </w:r>
            <w:r w:rsidRPr="00EA0A07">
              <w:rPr>
                <w:rFonts w:ascii="Arial" w:hAnsi="Arial" w:cs="Arial"/>
                <w:b/>
                <w:bCs/>
                <w:color w:val="000000"/>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107C2A" w:rsidRPr="00EA0A07" w:rsidRDefault="00107C2A" w:rsidP="00107C2A">
            <w:pPr>
              <w:autoSpaceDE w:val="0"/>
              <w:autoSpaceDN w:val="0"/>
              <w:adjustRightInd w:val="0"/>
              <w:spacing w:after="0" w:line="240" w:lineRule="auto"/>
              <w:rPr>
                <w:rFonts w:ascii="Arial" w:hAnsi="Arial" w:cs="Arial"/>
                <w:color w:val="000000"/>
                <w:sz w:val="20"/>
                <w:szCs w:val="20"/>
              </w:rPr>
            </w:pPr>
            <w:r w:rsidRPr="00EA0A07">
              <w:rPr>
                <w:rFonts w:ascii="Arial" w:hAnsi="Arial" w:cs="Arial"/>
                <w:b/>
                <w:bCs/>
                <w:color w:val="000000"/>
                <w:sz w:val="20"/>
                <w:szCs w:val="20"/>
              </w:rPr>
              <w:t>PC: Parcial Conforme (0,5)</w:t>
            </w:r>
          </w:p>
        </w:tc>
        <w:tc>
          <w:tcPr>
            <w:tcW w:w="0" w:type="auto"/>
            <w:tcBorders>
              <w:top w:val="single" w:sz="4" w:space="0" w:color="auto"/>
              <w:left w:val="single" w:sz="4" w:space="0" w:color="auto"/>
              <w:bottom w:val="single" w:sz="4" w:space="0" w:color="auto"/>
              <w:right w:val="single" w:sz="4" w:space="0" w:color="auto"/>
            </w:tcBorders>
          </w:tcPr>
          <w:p w:rsidR="00107C2A" w:rsidRPr="00EA0A07" w:rsidRDefault="00107C2A" w:rsidP="00107C2A">
            <w:pPr>
              <w:autoSpaceDE w:val="0"/>
              <w:autoSpaceDN w:val="0"/>
              <w:adjustRightInd w:val="0"/>
              <w:spacing w:after="0" w:line="240" w:lineRule="auto"/>
              <w:jc w:val="right"/>
              <w:rPr>
                <w:rFonts w:ascii="Arial" w:hAnsi="Arial" w:cs="Arial"/>
                <w:b/>
                <w:bCs/>
                <w:color w:val="000000"/>
                <w:sz w:val="20"/>
                <w:szCs w:val="20"/>
              </w:rPr>
            </w:pPr>
          </w:p>
        </w:tc>
        <w:tc>
          <w:tcPr>
            <w:tcW w:w="0" w:type="auto"/>
            <w:tcBorders>
              <w:top w:val="single" w:sz="4" w:space="0" w:color="auto"/>
              <w:left w:val="single" w:sz="4" w:space="0" w:color="auto"/>
              <w:bottom w:val="single" w:sz="4" w:space="0" w:color="auto"/>
              <w:right w:val="single" w:sz="4" w:space="0" w:color="auto"/>
            </w:tcBorders>
          </w:tcPr>
          <w:p w:rsidR="00107C2A" w:rsidRPr="00EA0A07" w:rsidRDefault="00107C2A" w:rsidP="00107C2A">
            <w:pPr>
              <w:autoSpaceDE w:val="0"/>
              <w:autoSpaceDN w:val="0"/>
              <w:adjustRightInd w:val="0"/>
              <w:spacing w:after="0" w:line="240" w:lineRule="auto"/>
              <w:jc w:val="right"/>
              <w:rPr>
                <w:rFonts w:ascii="Arial" w:hAnsi="Arial" w:cs="Arial"/>
                <w:color w:val="000000"/>
                <w:sz w:val="20"/>
                <w:szCs w:val="20"/>
              </w:rPr>
            </w:pPr>
          </w:p>
        </w:tc>
        <w:tc>
          <w:tcPr>
            <w:tcW w:w="0" w:type="auto"/>
            <w:tcBorders>
              <w:top w:val="single" w:sz="4" w:space="0" w:color="auto"/>
              <w:left w:val="single" w:sz="4" w:space="0" w:color="auto"/>
              <w:bottom w:val="single" w:sz="4" w:space="0" w:color="auto"/>
              <w:right w:val="single" w:sz="4" w:space="0" w:color="auto"/>
            </w:tcBorders>
          </w:tcPr>
          <w:p w:rsidR="00107C2A" w:rsidRPr="00EA0A07" w:rsidRDefault="00107C2A" w:rsidP="00107C2A">
            <w:pPr>
              <w:autoSpaceDE w:val="0"/>
              <w:autoSpaceDN w:val="0"/>
              <w:adjustRightInd w:val="0"/>
              <w:spacing w:after="0" w:line="240" w:lineRule="auto"/>
              <w:jc w:val="right"/>
              <w:rPr>
                <w:rFonts w:ascii="Arial" w:hAnsi="Arial" w:cs="Arial"/>
                <w:color w:val="000000"/>
                <w:sz w:val="20"/>
                <w:szCs w:val="20"/>
              </w:rPr>
            </w:pPr>
          </w:p>
        </w:tc>
      </w:tr>
      <w:tr w:rsidR="00107C2A" w:rsidRPr="00EA0A07" w:rsidTr="00107C2A">
        <w:trPr>
          <w:trHeight w:val="227"/>
        </w:trPr>
        <w:tc>
          <w:tcPr>
            <w:tcW w:w="0" w:type="auto"/>
            <w:tcBorders>
              <w:top w:val="single" w:sz="4" w:space="0" w:color="auto"/>
              <w:left w:val="single" w:sz="4" w:space="0" w:color="auto"/>
              <w:bottom w:val="single" w:sz="4" w:space="0" w:color="auto"/>
              <w:right w:val="single" w:sz="4" w:space="0" w:color="auto"/>
            </w:tcBorders>
          </w:tcPr>
          <w:p w:rsidR="00107C2A" w:rsidRPr="00EA0A07" w:rsidRDefault="00107C2A" w:rsidP="00033D8A">
            <w:pPr>
              <w:autoSpaceDE w:val="0"/>
              <w:autoSpaceDN w:val="0"/>
              <w:adjustRightInd w:val="0"/>
              <w:spacing w:after="0" w:line="240" w:lineRule="auto"/>
              <w:rPr>
                <w:rFonts w:ascii="Arial" w:hAnsi="Arial" w:cs="Arial"/>
                <w:color w:val="000000"/>
                <w:sz w:val="20"/>
                <w:szCs w:val="20"/>
              </w:rPr>
            </w:pPr>
            <w:r w:rsidRPr="00EA0A07">
              <w:rPr>
                <w:rFonts w:ascii="Arial" w:hAnsi="Arial" w:cs="Arial"/>
                <w:b/>
                <w:bCs/>
                <w:color w:val="000000"/>
                <w:sz w:val="20"/>
                <w:szCs w:val="20"/>
              </w:rPr>
              <w:t xml:space="preserve">Data auditoria de conformidade: </w:t>
            </w:r>
            <w:r w:rsidR="00033D8A">
              <w:rPr>
                <w:rFonts w:ascii="Arial" w:hAnsi="Arial" w:cs="Arial"/>
                <w:b/>
                <w:bCs/>
                <w:color w:val="000000"/>
                <w:sz w:val="20"/>
                <w:szCs w:val="20"/>
              </w:rPr>
              <w:t>28/08/2025</w:t>
            </w:r>
          </w:p>
        </w:tc>
        <w:tc>
          <w:tcPr>
            <w:tcW w:w="0" w:type="auto"/>
            <w:tcBorders>
              <w:top w:val="single" w:sz="4" w:space="0" w:color="auto"/>
              <w:left w:val="single" w:sz="4" w:space="0" w:color="auto"/>
              <w:bottom w:val="single" w:sz="4" w:space="0" w:color="auto"/>
              <w:right w:val="single" w:sz="4" w:space="0" w:color="auto"/>
            </w:tcBorders>
          </w:tcPr>
          <w:p w:rsidR="00107C2A" w:rsidRPr="00EA0A07" w:rsidRDefault="00107C2A" w:rsidP="00107C2A">
            <w:pPr>
              <w:autoSpaceDE w:val="0"/>
              <w:autoSpaceDN w:val="0"/>
              <w:adjustRightInd w:val="0"/>
              <w:spacing w:after="0" w:line="240" w:lineRule="auto"/>
              <w:rPr>
                <w:rFonts w:ascii="Arial" w:hAnsi="Arial" w:cs="Arial"/>
                <w:color w:val="000000"/>
                <w:sz w:val="20"/>
                <w:szCs w:val="20"/>
              </w:rPr>
            </w:pPr>
            <w:r w:rsidRPr="00EA0A07">
              <w:rPr>
                <w:rFonts w:ascii="Arial" w:hAnsi="Arial" w:cs="Arial"/>
                <w:b/>
                <w:bCs/>
                <w:color w:val="000000"/>
                <w:sz w:val="20"/>
                <w:szCs w:val="20"/>
              </w:rPr>
              <w:t>NC: Não Conforme (0,0)</w:t>
            </w:r>
          </w:p>
        </w:tc>
        <w:tc>
          <w:tcPr>
            <w:tcW w:w="0" w:type="auto"/>
            <w:tcBorders>
              <w:top w:val="single" w:sz="4" w:space="0" w:color="auto"/>
              <w:left w:val="single" w:sz="4" w:space="0" w:color="auto"/>
              <w:bottom w:val="single" w:sz="4" w:space="0" w:color="auto"/>
              <w:right w:val="single" w:sz="4" w:space="0" w:color="auto"/>
            </w:tcBorders>
          </w:tcPr>
          <w:p w:rsidR="00107C2A" w:rsidRPr="00EA0A07" w:rsidRDefault="00107C2A" w:rsidP="00107C2A">
            <w:pPr>
              <w:autoSpaceDE w:val="0"/>
              <w:autoSpaceDN w:val="0"/>
              <w:adjustRightInd w:val="0"/>
              <w:spacing w:after="0" w:line="240" w:lineRule="auto"/>
              <w:jc w:val="right"/>
              <w:rPr>
                <w:rFonts w:ascii="Arial" w:hAnsi="Arial" w:cs="Arial"/>
                <w:b/>
                <w:bCs/>
                <w:color w:val="000000"/>
                <w:sz w:val="20"/>
                <w:szCs w:val="20"/>
              </w:rPr>
            </w:pPr>
          </w:p>
        </w:tc>
        <w:tc>
          <w:tcPr>
            <w:tcW w:w="0" w:type="auto"/>
            <w:tcBorders>
              <w:top w:val="single" w:sz="4" w:space="0" w:color="auto"/>
              <w:left w:val="single" w:sz="4" w:space="0" w:color="auto"/>
              <w:bottom w:val="single" w:sz="4" w:space="0" w:color="auto"/>
              <w:right w:val="single" w:sz="4" w:space="0" w:color="auto"/>
            </w:tcBorders>
          </w:tcPr>
          <w:p w:rsidR="00107C2A" w:rsidRPr="00EA0A07" w:rsidRDefault="00107C2A" w:rsidP="00107C2A">
            <w:pPr>
              <w:autoSpaceDE w:val="0"/>
              <w:autoSpaceDN w:val="0"/>
              <w:adjustRightInd w:val="0"/>
              <w:spacing w:after="0" w:line="240" w:lineRule="auto"/>
              <w:jc w:val="right"/>
              <w:rPr>
                <w:rFonts w:ascii="Arial" w:hAnsi="Arial" w:cs="Arial"/>
                <w:color w:val="000000"/>
                <w:sz w:val="20"/>
                <w:szCs w:val="20"/>
              </w:rPr>
            </w:pPr>
          </w:p>
        </w:tc>
        <w:tc>
          <w:tcPr>
            <w:tcW w:w="0" w:type="auto"/>
            <w:tcBorders>
              <w:top w:val="single" w:sz="4" w:space="0" w:color="auto"/>
              <w:left w:val="single" w:sz="4" w:space="0" w:color="auto"/>
              <w:bottom w:val="single" w:sz="4" w:space="0" w:color="auto"/>
              <w:right w:val="single" w:sz="4" w:space="0" w:color="auto"/>
            </w:tcBorders>
          </w:tcPr>
          <w:p w:rsidR="00107C2A" w:rsidRPr="00EA0A07" w:rsidRDefault="00107C2A" w:rsidP="00107C2A">
            <w:pPr>
              <w:autoSpaceDE w:val="0"/>
              <w:autoSpaceDN w:val="0"/>
              <w:adjustRightInd w:val="0"/>
              <w:spacing w:after="0" w:line="240" w:lineRule="auto"/>
              <w:jc w:val="right"/>
              <w:rPr>
                <w:rFonts w:ascii="Arial" w:hAnsi="Arial" w:cs="Arial"/>
                <w:color w:val="000000"/>
                <w:sz w:val="20"/>
                <w:szCs w:val="20"/>
              </w:rPr>
            </w:pPr>
          </w:p>
        </w:tc>
      </w:tr>
      <w:tr w:rsidR="00107C2A" w:rsidRPr="00EA0A07" w:rsidTr="00107C2A">
        <w:trPr>
          <w:trHeight w:val="227"/>
        </w:trPr>
        <w:tc>
          <w:tcPr>
            <w:tcW w:w="0" w:type="auto"/>
            <w:gridSpan w:val="5"/>
            <w:tcBorders>
              <w:top w:val="single" w:sz="4" w:space="0" w:color="auto"/>
              <w:left w:val="single" w:sz="4" w:space="0" w:color="auto"/>
              <w:bottom w:val="single" w:sz="4" w:space="0" w:color="auto"/>
              <w:right w:val="single" w:sz="4" w:space="0" w:color="auto"/>
            </w:tcBorders>
          </w:tcPr>
          <w:p w:rsidR="00107C2A" w:rsidRPr="00676601" w:rsidRDefault="00107C2A" w:rsidP="00107C2A">
            <w:pPr>
              <w:autoSpaceDE w:val="0"/>
              <w:autoSpaceDN w:val="0"/>
              <w:adjustRightInd w:val="0"/>
              <w:spacing w:after="0" w:line="240" w:lineRule="auto"/>
              <w:rPr>
                <w:rFonts w:ascii="Arial" w:hAnsi="Arial" w:cs="Arial"/>
                <w:color w:val="000000"/>
                <w:sz w:val="20"/>
                <w:szCs w:val="20"/>
              </w:rPr>
            </w:pPr>
            <w:r w:rsidRPr="00676601">
              <w:rPr>
                <w:rFonts w:ascii="Arial" w:hAnsi="Arial" w:cs="Arial"/>
                <w:color w:val="000000"/>
                <w:sz w:val="20"/>
                <w:szCs w:val="20"/>
              </w:rPr>
              <w:t>Sistema de Avaliação para a Acreditação:</w:t>
            </w:r>
          </w:p>
          <w:p w:rsidR="00107C2A" w:rsidRPr="00676601" w:rsidRDefault="00107C2A" w:rsidP="00107C2A">
            <w:pPr>
              <w:autoSpaceDE w:val="0"/>
              <w:autoSpaceDN w:val="0"/>
              <w:adjustRightInd w:val="0"/>
              <w:spacing w:after="0" w:line="240" w:lineRule="auto"/>
              <w:rPr>
                <w:rFonts w:ascii="Arial" w:hAnsi="Arial" w:cs="Arial"/>
                <w:color w:val="000000"/>
                <w:sz w:val="20"/>
                <w:szCs w:val="20"/>
              </w:rPr>
            </w:pPr>
            <w:r w:rsidRPr="00676601">
              <w:rPr>
                <w:rFonts w:ascii="Arial" w:hAnsi="Arial" w:cs="Arial"/>
                <w:b/>
                <w:bCs/>
                <w:color w:val="000000"/>
                <w:sz w:val="20"/>
                <w:szCs w:val="20"/>
              </w:rPr>
              <w:t>S</w:t>
            </w:r>
            <w:r w:rsidRPr="00676601">
              <w:rPr>
                <w:rFonts w:ascii="Arial" w:hAnsi="Arial" w:cs="Arial"/>
                <w:color w:val="000000"/>
                <w:sz w:val="20"/>
                <w:szCs w:val="20"/>
              </w:rPr>
              <w:t xml:space="preserve">: </w:t>
            </w:r>
            <w:r w:rsidRPr="00676601">
              <w:rPr>
                <w:rFonts w:ascii="Arial" w:hAnsi="Arial" w:cs="Arial"/>
                <w:b/>
                <w:bCs/>
                <w:color w:val="000000"/>
                <w:sz w:val="20"/>
                <w:szCs w:val="20"/>
              </w:rPr>
              <w:t>Supera</w:t>
            </w:r>
            <w:r w:rsidRPr="00676601">
              <w:rPr>
                <w:rFonts w:ascii="Arial" w:hAnsi="Arial" w:cs="Arial"/>
                <w:color w:val="000000"/>
                <w:sz w:val="20"/>
                <w:szCs w:val="20"/>
              </w:rPr>
              <w:t>: Evidências apresentadas superam o esperado para o atendimento ao requisito em consonância com as dimensões da qualidade e fundamentos de gestão em saúde, considerando o perfil da organização.</w:t>
            </w:r>
          </w:p>
          <w:p w:rsidR="00107C2A" w:rsidRPr="00676601" w:rsidRDefault="00107C2A" w:rsidP="00107C2A">
            <w:pPr>
              <w:autoSpaceDE w:val="0"/>
              <w:autoSpaceDN w:val="0"/>
              <w:adjustRightInd w:val="0"/>
              <w:spacing w:after="0" w:line="240" w:lineRule="auto"/>
              <w:rPr>
                <w:rFonts w:ascii="Arial" w:hAnsi="Arial" w:cs="Arial"/>
                <w:color w:val="000000"/>
                <w:sz w:val="20"/>
                <w:szCs w:val="20"/>
              </w:rPr>
            </w:pPr>
            <w:r w:rsidRPr="00676601">
              <w:rPr>
                <w:rFonts w:ascii="Arial" w:hAnsi="Arial" w:cs="Arial"/>
                <w:b/>
                <w:bCs/>
                <w:color w:val="000000"/>
                <w:sz w:val="20"/>
                <w:szCs w:val="20"/>
              </w:rPr>
              <w:t>C: Conformidade</w:t>
            </w:r>
            <w:r w:rsidRPr="00676601">
              <w:rPr>
                <w:rFonts w:ascii="Arial" w:hAnsi="Arial" w:cs="Arial"/>
                <w:color w:val="000000"/>
                <w:sz w:val="20"/>
                <w:szCs w:val="20"/>
              </w:rPr>
              <w:t>: Evidências apresentadas atendem ao requisito em consonância com as dimensões da qualidade e fundamentos de gestão em saúde, considerando o perfil da organização.</w:t>
            </w:r>
          </w:p>
          <w:p w:rsidR="00107C2A" w:rsidRPr="00676601" w:rsidRDefault="00107C2A" w:rsidP="00107C2A">
            <w:pPr>
              <w:autoSpaceDE w:val="0"/>
              <w:autoSpaceDN w:val="0"/>
              <w:adjustRightInd w:val="0"/>
              <w:spacing w:after="0" w:line="240" w:lineRule="auto"/>
              <w:rPr>
                <w:rFonts w:ascii="Arial" w:hAnsi="Arial" w:cs="Arial"/>
                <w:color w:val="000000"/>
                <w:sz w:val="20"/>
                <w:szCs w:val="20"/>
              </w:rPr>
            </w:pPr>
            <w:r w:rsidRPr="00676601">
              <w:rPr>
                <w:rFonts w:ascii="Arial" w:hAnsi="Arial" w:cs="Arial"/>
                <w:b/>
                <w:bCs/>
                <w:color w:val="000000"/>
                <w:sz w:val="20"/>
                <w:szCs w:val="20"/>
              </w:rPr>
              <w:t>PC:</w:t>
            </w:r>
            <w:r w:rsidRPr="00676601">
              <w:rPr>
                <w:rFonts w:ascii="Arial" w:hAnsi="Arial" w:cs="Arial"/>
                <w:color w:val="000000"/>
                <w:sz w:val="20"/>
                <w:szCs w:val="20"/>
              </w:rPr>
              <w:t xml:space="preserve"> </w:t>
            </w:r>
            <w:r w:rsidRPr="00676601">
              <w:rPr>
                <w:rFonts w:ascii="Arial" w:hAnsi="Arial" w:cs="Arial"/>
                <w:b/>
                <w:bCs/>
                <w:color w:val="000000"/>
                <w:sz w:val="20"/>
                <w:szCs w:val="20"/>
              </w:rPr>
              <w:t>Parcial Conforme</w:t>
            </w:r>
            <w:r w:rsidRPr="00676601">
              <w:rPr>
                <w:rFonts w:ascii="Arial" w:hAnsi="Arial" w:cs="Arial"/>
                <w:color w:val="000000"/>
                <w:sz w:val="20"/>
                <w:szCs w:val="20"/>
              </w:rPr>
              <w:t>: Evidências apresentadas atendem parcialmente ao requisito em consonância com as dimensões da qualidade e fundamentos de gestão em saúde, considerando o perfil da organização.</w:t>
            </w:r>
          </w:p>
          <w:p w:rsidR="00107C2A" w:rsidRPr="00676601" w:rsidRDefault="00107C2A" w:rsidP="00107C2A">
            <w:pPr>
              <w:autoSpaceDE w:val="0"/>
              <w:autoSpaceDN w:val="0"/>
              <w:adjustRightInd w:val="0"/>
              <w:spacing w:after="0" w:line="240" w:lineRule="auto"/>
              <w:rPr>
                <w:rFonts w:ascii="Arial" w:hAnsi="Arial" w:cs="Arial"/>
                <w:color w:val="000000"/>
                <w:sz w:val="20"/>
                <w:szCs w:val="20"/>
              </w:rPr>
            </w:pPr>
            <w:r w:rsidRPr="00676601">
              <w:rPr>
                <w:rFonts w:ascii="Arial" w:hAnsi="Arial" w:cs="Arial"/>
                <w:b/>
                <w:bCs/>
                <w:color w:val="000000"/>
                <w:sz w:val="20"/>
                <w:szCs w:val="20"/>
              </w:rPr>
              <w:t>NC: Não Conforme</w:t>
            </w:r>
            <w:r w:rsidRPr="00676601">
              <w:rPr>
                <w:rFonts w:ascii="Arial" w:hAnsi="Arial" w:cs="Arial"/>
                <w:color w:val="000000"/>
                <w:sz w:val="20"/>
                <w:szCs w:val="20"/>
              </w:rPr>
              <w:t>: Evidências apresentadas não atendem o requisito ou ausência de evidência para atendimento ao requisito em consonância com as dimensões da qualidade e fundamentos de gestão em saúde, considerando o perfil da organização. Ausência de práticas.</w:t>
            </w:r>
          </w:p>
          <w:p w:rsidR="00107C2A" w:rsidRPr="00EA0A07" w:rsidRDefault="00107C2A" w:rsidP="00107C2A">
            <w:pPr>
              <w:autoSpaceDE w:val="0"/>
              <w:autoSpaceDN w:val="0"/>
              <w:adjustRightInd w:val="0"/>
              <w:spacing w:after="0" w:line="240" w:lineRule="auto"/>
              <w:rPr>
                <w:rFonts w:ascii="Arial" w:hAnsi="Arial" w:cs="Arial"/>
                <w:color w:val="000000"/>
                <w:sz w:val="20"/>
                <w:szCs w:val="20"/>
              </w:rPr>
            </w:pPr>
            <w:r w:rsidRPr="00676601">
              <w:rPr>
                <w:rFonts w:ascii="Arial" w:hAnsi="Arial" w:cs="Arial"/>
                <w:b/>
                <w:bCs/>
                <w:color w:val="000000"/>
                <w:sz w:val="20"/>
                <w:szCs w:val="20"/>
              </w:rPr>
              <w:t>NA:</w:t>
            </w:r>
            <w:r w:rsidRPr="00676601">
              <w:rPr>
                <w:rFonts w:ascii="Arial" w:hAnsi="Arial" w:cs="Arial"/>
                <w:color w:val="000000"/>
                <w:sz w:val="20"/>
                <w:szCs w:val="20"/>
              </w:rPr>
              <w:t xml:space="preserve"> </w:t>
            </w:r>
            <w:r w:rsidRPr="00676601">
              <w:rPr>
                <w:rFonts w:ascii="Arial" w:hAnsi="Arial" w:cs="Arial"/>
                <w:b/>
                <w:bCs/>
                <w:color w:val="000000"/>
                <w:sz w:val="20"/>
                <w:szCs w:val="20"/>
              </w:rPr>
              <w:t>Não se Aplica</w:t>
            </w:r>
            <w:r w:rsidRPr="00676601">
              <w:rPr>
                <w:rFonts w:ascii="Arial" w:hAnsi="Arial" w:cs="Arial"/>
                <w:color w:val="000000"/>
                <w:sz w:val="20"/>
                <w:szCs w:val="20"/>
              </w:rPr>
              <w:t>: Requisito não se aplica à característica da organização.</w:t>
            </w:r>
          </w:p>
        </w:tc>
      </w:tr>
      <w:tr w:rsidR="00107C2A" w:rsidRPr="00EA0A07" w:rsidTr="00107C2A">
        <w:trPr>
          <w:trHeight w:val="227"/>
        </w:trPr>
        <w:tc>
          <w:tcPr>
            <w:tcW w:w="0" w:type="auto"/>
            <w:tcBorders>
              <w:top w:val="single" w:sz="4" w:space="0" w:color="auto"/>
              <w:left w:val="single" w:sz="6" w:space="0" w:color="000000"/>
              <w:bottom w:val="single" w:sz="6" w:space="0" w:color="000000"/>
              <w:right w:val="nil"/>
            </w:tcBorders>
            <w:shd w:val="solid" w:color="008080" w:fill="008080"/>
          </w:tcPr>
          <w:p w:rsidR="00107C2A" w:rsidRPr="00676601" w:rsidRDefault="00107C2A" w:rsidP="00107C2A">
            <w:pPr>
              <w:autoSpaceDE w:val="0"/>
              <w:autoSpaceDN w:val="0"/>
              <w:adjustRightInd w:val="0"/>
              <w:spacing w:after="0" w:line="240" w:lineRule="auto"/>
              <w:jc w:val="center"/>
              <w:rPr>
                <w:rFonts w:ascii="Arial" w:hAnsi="Arial" w:cs="Arial"/>
                <w:b/>
                <w:bCs/>
                <w:color w:val="FFFFFF"/>
                <w:sz w:val="20"/>
                <w:szCs w:val="20"/>
              </w:rPr>
            </w:pPr>
            <w:r w:rsidRPr="00676601">
              <w:rPr>
                <w:rFonts w:ascii="Arial" w:hAnsi="Arial" w:cs="Arial"/>
                <w:b/>
                <w:bCs/>
                <w:color w:val="FFFFFF"/>
                <w:sz w:val="20"/>
                <w:szCs w:val="20"/>
              </w:rPr>
              <w:t>Acreditado</w:t>
            </w:r>
          </w:p>
        </w:tc>
        <w:tc>
          <w:tcPr>
            <w:tcW w:w="0" w:type="auto"/>
            <w:gridSpan w:val="4"/>
            <w:tcBorders>
              <w:top w:val="single" w:sz="4" w:space="0" w:color="auto"/>
              <w:left w:val="single" w:sz="6" w:space="0" w:color="000000"/>
              <w:bottom w:val="nil"/>
              <w:right w:val="single" w:sz="4" w:space="0" w:color="auto"/>
            </w:tcBorders>
            <w:shd w:val="solid" w:color="008080" w:fill="008080"/>
          </w:tcPr>
          <w:p w:rsidR="00107C2A" w:rsidRPr="00676601" w:rsidRDefault="00107C2A" w:rsidP="00107C2A">
            <w:pPr>
              <w:autoSpaceDE w:val="0"/>
              <w:autoSpaceDN w:val="0"/>
              <w:adjustRightInd w:val="0"/>
              <w:spacing w:after="0" w:line="240" w:lineRule="auto"/>
              <w:rPr>
                <w:rFonts w:ascii="Arial" w:hAnsi="Arial" w:cs="Arial"/>
                <w:b/>
                <w:bCs/>
                <w:color w:val="FFFFFF"/>
                <w:sz w:val="20"/>
                <w:szCs w:val="20"/>
              </w:rPr>
            </w:pPr>
            <w:r>
              <w:rPr>
                <w:rFonts w:ascii="Arial" w:hAnsi="Arial" w:cs="Arial"/>
                <w:b/>
                <w:bCs/>
                <w:color w:val="FFFFFF"/>
                <w:sz w:val="20"/>
                <w:szCs w:val="20"/>
              </w:rPr>
              <w:t xml:space="preserve">% para </w:t>
            </w:r>
          </w:p>
        </w:tc>
      </w:tr>
      <w:tr w:rsidR="00107C2A" w:rsidRPr="00EA0A07" w:rsidTr="00107C2A">
        <w:trPr>
          <w:trHeight w:val="227"/>
        </w:trPr>
        <w:tc>
          <w:tcPr>
            <w:tcW w:w="0" w:type="auto"/>
            <w:tcBorders>
              <w:top w:val="single" w:sz="6" w:space="0" w:color="000000"/>
              <w:left w:val="single" w:sz="6" w:space="0" w:color="000000"/>
              <w:bottom w:val="single" w:sz="6" w:space="0" w:color="000000"/>
              <w:right w:val="nil"/>
            </w:tcBorders>
            <w:shd w:val="clear" w:color="auto" w:fill="auto"/>
          </w:tcPr>
          <w:p w:rsidR="00107C2A" w:rsidRPr="00676601" w:rsidRDefault="00107C2A" w:rsidP="00107C2A">
            <w:pPr>
              <w:autoSpaceDE w:val="0"/>
              <w:autoSpaceDN w:val="0"/>
              <w:adjustRightInd w:val="0"/>
              <w:spacing w:after="0" w:line="240" w:lineRule="auto"/>
              <w:rPr>
                <w:rFonts w:ascii="Arial" w:hAnsi="Arial" w:cs="Arial"/>
                <w:b/>
                <w:bCs/>
                <w:color w:val="000000"/>
                <w:sz w:val="20"/>
                <w:szCs w:val="20"/>
              </w:rPr>
            </w:pPr>
            <w:r w:rsidRPr="00676601">
              <w:rPr>
                <w:rFonts w:ascii="Arial" w:hAnsi="Arial" w:cs="Arial"/>
                <w:b/>
                <w:bCs/>
                <w:color w:val="000000"/>
                <w:sz w:val="20"/>
                <w:szCs w:val="20"/>
              </w:rPr>
              <w:t>N1 - Acreditado</w:t>
            </w:r>
          </w:p>
        </w:tc>
        <w:tc>
          <w:tcPr>
            <w:tcW w:w="0" w:type="auto"/>
            <w:gridSpan w:val="4"/>
            <w:tcBorders>
              <w:top w:val="single" w:sz="6" w:space="0" w:color="000000"/>
              <w:left w:val="single" w:sz="6" w:space="0" w:color="000000"/>
              <w:bottom w:val="nil"/>
              <w:right w:val="single" w:sz="4" w:space="0" w:color="auto"/>
            </w:tcBorders>
            <w:shd w:val="clear" w:color="auto" w:fill="auto"/>
          </w:tcPr>
          <w:p w:rsidR="00107C2A" w:rsidRPr="00676601" w:rsidRDefault="00107C2A" w:rsidP="00107C2A">
            <w:pPr>
              <w:autoSpaceDE w:val="0"/>
              <w:autoSpaceDN w:val="0"/>
              <w:adjustRightInd w:val="0"/>
              <w:spacing w:after="0" w:line="240" w:lineRule="auto"/>
              <w:rPr>
                <w:rFonts w:ascii="Arial" w:hAnsi="Arial" w:cs="Arial"/>
                <w:b/>
                <w:bCs/>
                <w:color w:val="000000"/>
                <w:sz w:val="20"/>
                <w:szCs w:val="20"/>
              </w:rPr>
            </w:pPr>
            <w:r w:rsidRPr="00676601">
              <w:rPr>
                <w:rFonts w:ascii="Arial" w:hAnsi="Arial" w:cs="Arial"/>
                <w:b/>
                <w:bCs/>
                <w:color w:val="000000"/>
                <w:sz w:val="20"/>
                <w:szCs w:val="20"/>
              </w:rPr>
              <w:t xml:space="preserve">Requisitos Totais 80% - </w:t>
            </w:r>
            <w:r>
              <w:rPr>
                <w:rFonts w:ascii="Arial" w:hAnsi="Arial" w:cs="Arial"/>
                <w:b/>
                <w:bCs/>
                <w:color w:val="000000"/>
                <w:sz w:val="20"/>
                <w:szCs w:val="20"/>
              </w:rPr>
              <w:t xml:space="preserve"> </w:t>
            </w:r>
            <w:r w:rsidRPr="00676601">
              <w:rPr>
                <w:rFonts w:ascii="Arial" w:hAnsi="Arial" w:cs="Arial"/>
                <w:b/>
                <w:bCs/>
                <w:color w:val="000000"/>
                <w:sz w:val="20"/>
                <w:szCs w:val="20"/>
              </w:rPr>
              <w:t>Requisitos Core 90%</w:t>
            </w:r>
          </w:p>
        </w:tc>
      </w:tr>
      <w:tr w:rsidR="00107C2A" w:rsidRPr="00EA0A07" w:rsidTr="00107C2A">
        <w:trPr>
          <w:trHeight w:val="227"/>
        </w:trPr>
        <w:tc>
          <w:tcPr>
            <w:tcW w:w="0" w:type="auto"/>
            <w:tcBorders>
              <w:top w:val="single" w:sz="6" w:space="0" w:color="000000"/>
              <w:left w:val="single" w:sz="6" w:space="0" w:color="000000"/>
              <w:bottom w:val="single" w:sz="6" w:space="0" w:color="000000"/>
              <w:right w:val="nil"/>
            </w:tcBorders>
            <w:shd w:val="clear" w:color="auto" w:fill="auto"/>
          </w:tcPr>
          <w:p w:rsidR="00107C2A" w:rsidRPr="00676601" w:rsidRDefault="00107C2A" w:rsidP="00107C2A">
            <w:pPr>
              <w:autoSpaceDE w:val="0"/>
              <w:autoSpaceDN w:val="0"/>
              <w:adjustRightInd w:val="0"/>
              <w:spacing w:after="0" w:line="240" w:lineRule="auto"/>
              <w:rPr>
                <w:rFonts w:ascii="Arial" w:hAnsi="Arial" w:cs="Arial"/>
                <w:b/>
                <w:bCs/>
                <w:color w:val="000000"/>
                <w:sz w:val="20"/>
                <w:szCs w:val="20"/>
              </w:rPr>
            </w:pPr>
            <w:r w:rsidRPr="00676601">
              <w:rPr>
                <w:rFonts w:ascii="Arial" w:hAnsi="Arial" w:cs="Arial"/>
                <w:b/>
                <w:bCs/>
                <w:color w:val="000000"/>
                <w:sz w:val="20"/>
                <w:szCs w:val="20"/>
              </w:rPr>
              <w:t>N 2 - Acreditado Pleno</w:t>
            </w:r>
          </w:p>
        </w:tc>
        <w:tc>
          <w:tcPr>
            <w:tcW w:w="0" w:type="auto"/>
            <w:gridSpan w:val="4"/>
            <w:tcBorders>
              <w:top w:val="single" w:sz="6" w:space="0" w:color="000000"/>
              <w:left w:val="single" w:sz="6" w:space="0" w:color="000000"/>
              <w:bottom w:val="nil"/>
              <w:right w:val="single" w:sz="4" w:space="0" w:color="auto"/>
            </w:tcBorders>
            <w:shd w:val="clear" w:color="auto" w:fill="auto"/>
          </w:tcPr>
          <w:p w:rsidR="00107C2A" w:rsidRPr="00676601" w:rsidRDefault="00107C2A" w:rsidP="00107C2A">
            <w:pPr>
              <w:autoSpaceDE w:val="0"/>
              <w:autoSpaceDN w:val="0"/>
              <w:adjustRightInd w:val="0"/>
              <w:spacing w:after="0" w:line="240" w:lineRule="auto"/>
              <w:rPr>
                <w:rFonts w:ascii="Arial" w:hAnsi="Arial" w:cs="Arial"/>
                <w:color w:val="000000"/>
                <w:sz w:val="20"/>
                <w:szCs w:val="20"/>
              </w:rPr>
            </w:pPr>
            <w:r w:rsidRPr="00676601">
              <w:rPr>
                <w:rFonts w:ascii="Arial" w:hAnsi="Arial" w:cs="Arial"/>
                <w:b/>
                <w:bCs/>
                <w:color w:val="000000"/>
                <w:sz w:val="20"/>
                <w:szCs w:val="20"/>
              </w:rPr>
              <w:t xml:space="preserve">Requisitos Totais 85% - </w:t>
            </w:r>
            <w:r>
              <w:rPr>
                <w:rFonts w:ascii="Arial" w:hAnsi="Arial" w:cs="Arial"/>
                <w:b/>
                <w:bCs/>
                <w:color w:val="000000"/>
                <w:sz w:val="20"/>
                <w:szCs w:val="20"/>
              </w:rPr>
              <w:t xml:space="preserve"> </w:t>
            </w:r>
            <w:r w:rsidRPr="00676601">
              <w:rPr>
                <w:rFonts w:ascii="Arial" w:hAnsi="Arial" w:cs="Arial"/>
                <w:b/>
                <w:bCs/>
                <w:color w:val="000000"/>
                <w:sz w:val="20"/>
                <w:szCs w:val="20"/>
              </w:rPr>
              <w:t>Requisitos Core 90%</w:t>
            </w:r>
          </w:p>
        </w:tc>
      </w:tr>
      <w:tr w:rsidR="00107C2A" w:rsidRPr="00EA0A07" w:rsidTr="00107C2A">
        <w:trPr>
          <w:trHeight w:val="227"/>
        </w:trPr>
        <w:tc>
          <w:tcPr>
            <w:tcW w:w="0" w:type="auto"/>
            <w:tcBorders>
              <w:top w:val="single" w:sz="6" w:space="0" w:color="000000"/>
              <w:left w:val="single" w:sz="6" w:space="0" w:color="000000"/>
              <w:bottom w:val="single" w:sz="6" w:space="0" w:color="000000"/>
              <w:right w:val="nil"/>
            </w:tcBorders>
            <w:shd w:val="clear" w:color="auto" w:fill="auto"/>
          </w:tcPr>
          <w:p w:rsidR="00107C2A" w:rsidRPr="00676601" w:rsidRDefault="00107C2A" w:rsidP="00107C2A">
            <w:pPr>
              <w:autoSpaceDE w:val="0"/>
              <w:autoSpaceDN w:val="0"/>
              <w:adjustRightInd w:val="0"/>
              <w:spacing w:after="0" w:line="240" w:lineRule="auto"/>
              <w:rPr>
                <w:rFonts w:ascii="Arial" w:hAnsi="Arial" w:cs="Arial"/>
                <w:b/>
                <w:bCs/>
                <w:color w:val="000000"/>
                <w:sz w:val="20"/>
                <w:szCs w:val="20"/>
              </w:rPr>
            </w:pPr>
            <w:r w:rsidRPr="00676601">
              <w:rPr>
                <w:rFonts w:ascii="Arial" w:hAnsi="Arial" w:cs="Arial"/>
                <w:b/>
                <w:bCs/>
                <w:color w:val="000000"/>
                <w:sz w:val="20"/>
                <w:szCs w:val="20"/>
              </w:rPr>
              <w:t>N 3 - Acreditado com Excelência</w:t>
            </w:r>
          </w:p>
        </w:tc>
        <w:tc>
          <w:tcPr>
            <w:tcW w:w="0" w:type="auto"/>
            <w:gridSpan w:val="4"/>
            <w:tcBorders>
              <w:top w:val="single" w:sz="6" w:space="0" w:color="000000"/>
              <w:left w:val="single" w:sz="6" w:space="0" w:color="000000"/>
              <w:bottom w:val="nil"/>
              <w:right w:val="single" w:sz="4" w:space="0" w:color="auto"/>
            </w:tcBorders>
            <w:shd w:val="clear" w:color="auto" w:fill="auto"/>
          </w:tcPr>
          <w:p w:rsidR="00107C2A" w:rsidRPr="00676601" w:rsidRDefault="00107C2A" w:rsidP="00107C2A">
            <w:pPr>
              <w:autoSpaceDE w:val="0"/>
              <w:autoSpaceDN w:val="0"/>
              <w:adjustRightInd w:val="0"/>
              <w:spacing w:after="0" w:line="240" w:lineRule="auto"/>
              <w:rPr>
                <w:rFonts w:ascii="Arial" w:hAnsi="Arial" w:cs="Arial"/>
                <w:color w:val="000000"/>
                <w:sz w:val="20"/>
                <w:szCs w:val="20"/>
              </w:rPr>
            </w:pPr>
            <w:r w:rsidRPr="00676601">
              <w:rPr>
                <w:rFonts w:ascii="Arial" w:hAnsi="Arial" w:cs="Arial"/>
                <w:b/>
                <w:bCs/>
                <w:color w:val="000000"/>
                <w:sz w:val="20"/>
                <w:szCs w:val="20"/>
              </w:rPr>
              <w:t>Requisitos Totais 85% -</w:t>
            </w:r>
            <w:r>
              <w:rPr>
                <w:rFonts w:ascii="Arial" w:hAnsi="Arial" w:cs="Arial"/>
                <w:b/>
                <w:bCs/>
                <w:color w:val="000000"/>
                <w:sz w:val="20"/>
                <w:szCs w:val="20"/>
              </w:rPr>
              <w:t xml:space="preserve"> </w:t>
            </w:r>
            <w:r w:rsidRPr="00676601">
              <w:rPr>
                <w:rFonts w:ascii="Arial" w:hAnsi="Arial" w:cs="Arial"/>
                <w:b/>
                <w:bCs/>
                <w:color w:val="000000"/>
                <w:sz w:val="20"/>
                <w:szCs w:val="20"/>
              </w:rPr>
              <w:t xml:space="preserve"> Requisitos Core 90%</w:t>
            </w:r>
          </w:p>
        </w:tc>
      </w:tr>
      <w:tr w:rsidR="00107C2A" w:rsidRPr="00EA0A07" w:rsidTr="00107C2A">
        <w:trPr>
          <w:trHeight w:val="227"/>
        </w:trPr>
        <w:tc>
          <w:tcPr>
            <w:tcW w:w="0" w:type="auto"/>
            <w:gridSpan w:val="5"/>
            <w:tcBorders>
              <w:top w:val="single" w:sz="6" w:space="0" w:color="000000"/>
              <w:left w:val="single" w:sz="6" w:space="0" w:color="000000"/>
              <w:bottom w:val="single" w:sz="6" w:space="0" w:color="000000"/>
              <w:right w:val="single" w:sz="4" w:space="0" w:color="auto"/>
            </w:tcBorders>
            <w:shd w:val="solid" w:color="008080" w:fill="008080"/>
          </w:tcPr>
          <w:p w:rsidR="00107C2A" w:rsidRPr="00EA0A07" w:rsidRDefault="00C026D7" w:rsidP="00107C2A">
            <w:pPr>
              <w:autoSpaceDE w:val="0"/>
              <w:autoSpaceDN w:val="0"/>
              <w:adjustRightInd w:val="0"/>
              <w:spacing w:after="0" w:line="240" w:lineRule="auto"/>
              <w:rPr>
                <w:rFonts w:ascii="Arial" w:hAnsi="Arial" w:cs="Arial"/>
                <w:b/>
                <w:bCs/>
                <w:color w:val="FFFFFF"/>
                <w:sz w:val="20"/>
                <w:szCs w:val="20"/>
              </w:rPr>
            </w:pPr>
            <w:r w:rsidRPr="00190943">
              <w:rPr>
                <w:rFonts w:ascii="Arial" w:hAnsi="Arial" w:cs="Arial"/>
                <w:b/>
                <w:bCs/>
                <w:color w:val="FFFFFF"/>
                <w:sz w:val="20"/>
                <w:szCs w:val="20"/>
              </w:rPr>
              <w:t>PADRÃO NÍVEL 1: Assistência planejada, segura, integral e individualizada, com propostas terapêuticas articuladas, na busca de um único resultado para o paciente/cliente, através de um processo constante de identificação de risco.</w:t>
            </w:r>
          </w:p>
        </w:tc>
      </w:tr>
    </w:tbl>
    <w:p w:rsidR="00E65E72" w:rsidRDefault="00E65E72" w:rsidP="00F01DE9">
      <w:pPr>
        <w:spacing w:after="0"/>
      </w:pPr>
    </w:p>
    <w:tbl>
      <w:tblPr>
        <w:tblW w:w="0" w:type="auto"/>
        <w:tblInd w:w="-72" w:type="dxa"/>
        <w:tblLayout w:type="fixed"/>
        <w:tblCellMar>
          <w:left w:w="70" w:type="dxa"/>
          <w:right w:w="70" w:type="dxa"/>
        </w:tblCellMar>
        <w:tblLook w:val="04A0" w:firstRow="1" w:lastRow="0" w:firstColumn="1" w:lastColumn="0" w:noHBand="0" w:noVBand="1"/>
      </w:tblPr>
      <w:tblGrid>
        <w:gridCol w:w="510"/>
        <w:gridCol w:w="2326"/>
        <w:gridCol w:w="3969"/>
        <w:gridCol w:w="4819"/>
        <w:gridCol w:w="4858"/>
      </w:tblGrid>
      <w:tr w:rsidR="00E002FC" w:rsidRPr="006D3E2D" w:rsidTr="003C42C5">
        <w:trPr>
          <w:trHeight w:val="227"/>
        </w:trPr>
        <w:tc>
          <w:tcPr>
            <w:tcW w:w="510" w:type="dxa"/>
            <w:tcBorders>
              <w:top w:val="single" w:sz="4" w:space="0" w:color="000000"/>
              <w:left w:val="single" w:sz="4" w:space="0" w:color="000000"/>
              <w:bottom w:val="single" w:sz="4" w:space="0" w:color="000000"/>
              <w:right w:val="single" w:sz="4" w:space="0" w:color="000000"/>
            </w:tcBorders>
            <w:shd w:val="clear" w:color="auto" w:fill="003300"/>
          </w:tcPr>
          <w:p w:rsidR="00E002FC" w:rsidRPr="006D3E2D" w:rsidRDefault="00E002FC" w:rsidP="00CF606A">
            <w:pPr>
              <w:autoSpaceDE w:val="0"/>
              <w:autoSpaceDN w:val="0"/>
              <w:adjustRightInd w:val="0"/>
              <w:spacing w:after="0" w:line="240" w:lineRule="auto"/>
              <w:jc w:val="center"/>
              <w:rPr>
                <w:rFonts w:ascii="Arial" w:hAnsi="Arial" w:cs="Arial"/>
                <w:b/>
                <w:bCs/>
                <w:sz w:val="20"/>
                <w:szCs w:val="20"/>
              </w:rPr>
            </w:pPr>
            <w:proofErr w:type="gramStart"/>
            <w:r w:rsidRPr="006D3E2D">
              <w:rPr>
                <w:rFonts w:ascii="Arial" w:hAnsi="Arial" w:cs="Arial"/>
                <w:b/>
                <w:bCs/>
                <w:sz w:val="20"/>
                <w:szCs w:val="20"/>
              </w:rPr>
              <w:t>nº</w:t>
            </w:r>
            <w:proofErr w:type="gramEnd"/>
          </w:p>
        </w:tc>
        <w:tc>
          <w:tcPr>
            <w:tcW w:w="2326" w:type="dxa"/>
            <w:tcBorders>
              <w:top w:val="single" w:sz="4" w:space="0" w:color="auto"/>
              <w:left w:val="nil"/>
              <w:bottom w:val="single" w:sz="4" w:space="0" w:color="auto"/>
              <w:right w:val="single" w:sz="4" w:space="0" w:color="auto"/>
            </w:tcBorders>
            <w:shd w:val="clear" w:color="auto" w:fill="003300"/>
          </w:tcPr>
          <w:p w:rsidR="00E002FC" w:rsidRPr="006D3E2D" w:rsidRDefault="00E002FC" w:rsidP="00CF606A">
            <w:pPr>
              <w:autoSpaceDE w:val="0"/>
              <w:autoSpaceDN w:val="0"/>
              <w:adjustRightInd w:val="0"/>
              <w:spacing w:after="0" w:line="240" w:lineRule="auto"/>
              <w:jc w:val="center"/>
              <w:rPr>
                <w:rFonts w:ascii="Arial" w:hAnsi="Arial" w:cs="Arial"/>
                <w:b/>
                <w:bCs/>
                <w:sz w:val="20"/>
                <w:szCs w:val="20"/>
              </w:rPr>
            </w:pPr>
            <w:r w:rsidRPr="006D3E2D">
              <w:rPr>
                <w:rFonts w:ascii="Arial" w:hAnsi="Arial" w:cs="Arial"/>
                <w:b/>
                <w:bCs/>
                <w:sz w:val="20"/>
                <w:szCs w:val="20"/>
              </w:rPr>
              <w:t>Requisitos de Nível 1</w:t>
            </w:r>
          </w:p>
        </w:tc>
        <w:tc>
          <w:tcPr>
            <w:tcW w:w="3969" w:type="dxa"/>
            <w:tcBorders>
              <w:top w:val="single" w:sz="4" w:space="0" w:color="auto"/>
              <w:left w:val="nil"/>
              <w:bottom w:val="single" w:sz="4" w:space="0" w:color="auto"/>
              <w:right w:val="single" w:sz="4" w:space="0" w:color="auto"/>
            </w:tcBorders>
            <w:shd w:val="clear" w:color="auto" w:fill="003300"/>
          </w:tcPr>
          <w:p w:rsidR="00E002FC" w:rsidRPr="006D3E2D" w:rsidRDefault="00E002FC" w:rsidP="00CF606A">
            <w:pPr>
              <w:autoSpaceDE w:val="0"/>
              <w:autoSpaceDN w:val="0"/>
              <w:adjustRightInd w:val="0"/>
              <w:spacing w:after="0" w:line="240" w:lineRule="auto"/>
              <w:jc w:val="center"/>
              <w:rPr>
                <w:rFonts w:ascii="Arial" w:hAnsi="Arial" w:cs="Arial"/>
                <w:b/>
                <w:bCs/>
                <w:sz w:val="20"/>
                <w:szCs w:val="20"/>
              </w:rPr>
            </w:pPr>
            <w:r w:rsidRPr="006D3E2D">
              <w:rPr>
                <w:rFonts w:ascii="Arial" w:hAnsi="Arial" w:cs="Arial"/>
                <w:b/>
                <w:bCs/>
                <w:sz w:val="20"/>
                <w:szCs w:val="20"/>
              </w:rPr>
              <w:t>Orientações</w:t>
            </w:r>
          </w:p>
        </w:tc>
        <w:tc>
          <w:tcPr>
            <w:tcW w:w="4819" w:type="dxa"/>
            <w:tcBorders>
              <w:top w:val="single" w:sz="4" w:space="0" w:color="auto"/>
              <w:left w:val="nil"/>
              <w:bottom w:val="single" w:sz="4" w:space="0" w:color="auto"/>
              <w:right w:val="single" w:sz="4" w:space="0" w:color="auto"/>
            </w:tcBorders>
            <w:shd w:val="clear" w:color="auto" w:fill="003300"/>
          </w:tcPr>
          <w:p w:rsidR="00E002FC" w:rsidRPr="006D3E2D" w:rsidRDefault="00E002FC" w:rsidP="00CF606A">
            <w:pPr>
              <w:autoSpaceDE w:val="0"/>
              <w:autoSpaceDN w:val="0"/>
              <w:adjustRightInd w:val="0"/>
              <w:spacing w:after="0" w:line="240" w:lineRule="auto"/>
              <w:jc w:val="center"/>
              <w:rPr>
                <w:rFonts w:ascii="Arial" w:hAnsi="Arial" w:cs="Arial"/>
                <w:b/>
                <w:bCs/>
                <w:sz w:val="20"/>
                <w:szCs w:val="20"/>
              </w:rPr>
            </w:pPr>
            <w:r w:rsidRPr="006D3E2D">
              <w:rPr>
                <w:rFonts w:ascii="Arial" w:hAnsi="Arial" w:cs="Arial"/>
                <w:b/>
                <w:bCs/>
                <w:sz w:val="20"/>
                <w:szCs w:val="20"/>
              </w:rPr>
              <w:t>Sugestão de evidências</w:t>
            </w:r>
          </w:p>
        </w:tc>
        <w:tc>
          <w:tcPr>
            <w:tcW w:w="4858" w:type="dxa"/>
            <w:tcBorders>
              <w:top w:val="single" w:sz="4" w:space="0" w:color="000000"/>
              <w:left w:val="nil"/>
              <w:bottom w:val="single" w:sz="4" w:space="0" w:color="000000"/>
              <w:right w:val="single" w:sz="4" w:space="0" w:color="000000"/>
            </w:tcBorders>
            <w:shd w:val="clear" w:color="auto" w:fill="003300"/>
            <w:noWrap/>
          </w:tcPr>
          <w:p w:rsidR="00E002FC" w:rsidRPr="006D3E2D" w:rsidRDefault="00E002FC" w:rsidP="00CF606A">
            <w:pPr>
              <w:autoSpaceDE w:val="0"/>
              <w:autoSpaceDN w:val="0"/>
              <w:adjustRightInd w:val="0"/>
              <w:spacing w:after="0" w:line="240" w:lineRule="auto"/>
              <w:jc w:val="center"/>
              <w:rPr>
                <w:rFonts w:ascii="Arial" w:hAnsi="Arial" w:cs="Arial"/>
                <w:b/>
                <w:bCs/>
                <w:sz w:val="20"/>
                <w:szCs w:val="20"/>
              </w:rPr>
            </w:pPr>
            <w:r w:rsidRPr="006D3E2D">
              <w:rPr>
                <w:rFonts w:ascii="Arial" w:hAnsi="Arial" w:cs="Arial"/>
                <w:b/>
                <w:bCs/>
                <w:sz w:val="20"/>
                <w:szCs w:val="20"/>
              </w:rPr>
              <w:t xml:space="preserve">Constatações e orientações </w:t>
            </w:r>
          </w:p>
          <w:p w:rsidR="00E002FC" w:rsidRPr="006D3E2D" w:rsidRDefault="00E002FC" w:rsidP="00CF606A">
            <w:pPr>
              <w:autoSpaceDE w:val="0"/>
              <w:autoSpaceDN w:val="0"/>
              <w:adjustRightInd w:val="0"/>
              <w:spacing w:after="0" w:line="240" w:lineRule="auto"/>
              <w:jc w:val="center"/>
              <w:rPr>
                <w:rFonts w:ascii="Arial" w:hAnsi="Arial" w:cs="Arial"/>
                <w:b/>
                <w:bCs/>
                <w:sz w:val="20"/>
                <w:szCs w:val="20"/>
              </w:rPr>
            </w:pPr>
          </w:p>
        </w:tc>
      </w:tr>
      <w:tr w:rsidR="001C0A44" w:rsidRPr="006D3E2D" w:rsidTr="00BA7EAA">
        <w:trPr>
          <w:trHeight w:val="227"/>
        </w:trPr>
        <w:tc>
          <w:tcPr>
            <w:tcW w:w="510" w:type="dxa"/>
            <w:tcBorders>
              <w:top w:val="single" w:sz="4" w:space="0" w:color="000000"/>
              <w:left w:val="single" w:sz="4" w:space="0" w:color="000000"/>
              <w:bottom w:val="single" w:sz="4" w:space="0" w:color="000000"/>
              <w:right w:val="single" w:sz="4" w:space="0" w:color="000000"/>
            </w:tcBorders>
            <w:shd w:val="clear" w:color="008080" w:fill="008080"/>
            <w:vAlign w:val="center"/>
            <w:hideMark/>
          </w:tcPr>
          <w:p w:rsidR="001C0A44" w:rsidRPr="006D3E2D" w:rsidRDefault="001C0A44"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t>1</w:t>
            </w:r>
          </w:p>
        </w:tc>
        <w:tc>
          <w:tcPr>
            <w:tcW w:w="2326" w:type="dxa"/>
            <w:tcBorders>
              <w:top w:val="single" w:sz="4" w:space="0" w:color="auto"/>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Utiliza o perfil epidemiológico dos pacientes para orientar o planejamento das ações de assistência oncológica.</w:t>
            </w:r>
          </w:p>
        </w:tc>
        <w:tc>
          <w:tcPr>
            <w:tcW w:w="3969" w:type="dxa"/>
            <w:tcBorders>
              <w:top w:val="single" w:sz="4" w:space="0" w:color="auto"/>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O perfil epidemiológico dos pacientes inclui informações como gênero, idade, CID, localização e </w:t>
            </w:r>
            <w:proofErr w:type="spellStart"/>
            <w:r w:rsidRPr="006D3E2D">
              <w:rPr>
                <w:rFonts w:ascii="Arial" w:eastAsia="Times New Roman" w:hAnsi="Arial" w:cs="Arial"/>
                <w:sz w:val="20"/>
                <w:szCs w:val="20"/>
                <w:lang w:eastAsia="pt-BR"/>
              </w:rPr>
              <w:t>estadiamento</w:t>
            </w:r>
            <w:proofErr w:type="spellEnd"/>
            <w:r w:rsidRPr="006D3E2D">
              <w:rPr>
                <w:rFonts w:ascii="Arial" w:eastAsia="Times New Roman" w:hAnsi="Arial" w:cs="Arial"/>
                <w:sz w:val="20"/>
                <w:szCs w:val="20"/>
                <w:lang w:eastAsia="pt-BR"/>
              </w:rPr>
              <w:t xml:space="preserve"> de tumor, procedência e </w:t>
            </w:r>
            <w:proofErr w:type="spellStart"/>
            <w:r w:rsidRPr="006D3E2D">
              <w:rPr>
                <w:rFonts w:ascii="Arial" w:eastAsia="Times New Roman" w:hAnsi="Arial" w:cs="Arial"/>
                <w:sz w:val="20"/>
                <w:szCs w:val="20"/>
                <w:lang w:eastAsia="pt-BR"/>
              </w:rPr>
              <w:t>comorbidades</w:t>
            </w:r>
            <w:proofErr w:type="spellEnd"/>
            <w:r w:rsidRPr="006D3E2D">
              <w:rPr>
                <w:rFonts w:ascii="Arial" w:eastAsia="Times New Roman" w:hAnsi="Arial" w:cs="Arial"/>
                <w:sz w:val="20"/>
                <w:szCs w:val="20"/>
                <w:lang w:eastAsia="pt-BR"/>
              </w:rPr>
              <w:t>. Estas informações devem nortear o planejamento assistencial, bem como os protocolos clínicos.</w:t>
            </w:r>
          </w:p>
        </w:tc>
        <w:tc>
          <w:tcPr>
            <w:tcW w:w="4819" w:type="dxa"/>
            <w:tcBorders>
              <w:top w:val="single" w:sz="4" w:space="0" w:color="auto"/>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Perfil epidemiológico estruturado; Perfil mapeado dos pacientes orienta o planejamento do cuidado (tipo de acomodação do paciente, dispositivos de acesso vascular, experiência da equipe de enfermagem designada aos cuidados, por exemplo) bem como os protocolos clínicos implantados (entre eles os protocolos de manejo de dor, </w:t>
            </w:r>
            <w:proofErr w:type="spellStart"/>
            <w:r w:rsidRPr="006D3E2D">
              <w:rPr>
                <w:rFonts w:ascii="Arial" w:eastAsia="Times New Roman" w:hAnsi="Arial" w:cs="Arial"/>
                <w:sz w:val="20"/>
                <w:szCs w:val="20"/>
                <w:lang w:eastAsia="pt-BR"/>
              </w:rPr>
              <w:t>neutropenia</w:t>
            </w:r>
            <w:proofErr w:type="spellEnd"/>
            <w:r w:rsidRPr="006D3E2D">
              <w:rPr>
                <w:rFonts w:ascii="Arial" w:eastAsia="Times New Roman" w:hAnsi="Arial" w:cs="Arial"/>
                <w:sz w:val="20"/>
                <w:szCs w:val="20"/>
                <w:lang w:eastAsia="pt-BR"/>
              </w:rPr>
              <w:t>, flebite e extravasamento de quimioterápicos).</w:t>
            </w:r>
          </w:p>
        </w:tc>
        <w:tc>
          <w:tcPr>
            <w:tcW w:w="4858" w:type="dxa"/>
            <w:tcBorders>
              <w:top w:val="single" w:sz="4" w:space="0" w:color="000000"/>
              <w:left w:val="nil"/>
              <w:bottom w:val="single" w:sz="4" w:space="0" w:color="000000"/>
              <w:right w:val="single" w:sz="4" w:space="0" w:color="000000"/>
            </w:tcBorders>
            <w:shd w:val="clear" w:color="auto" w:fill="auto"/>
            <w:noWrap/>
            <w:vAlign w:val="center"/>
          </w:tcPr>
          <w:p w:rsidR="00953887" w:rsidRPr="006D3E2D" w:rsidRDefault="00953887" w:rsidP="00574EA9">
            <w:pPr>
              <w:pStyle w:val="PargrafodaLista"/>
              <w:tabs>
                <w:tab w:val="left" w:pos="214"/>
              </w:tabs>
              <w:spacing w:after="0" w:line="240" w:lineRule="auto"/>
              <w:ind w:left="72"/>
              <w:rPr>
                <w:rFonts w:ascii="Arial" w:eastAsia="Times New Roman" w:hAnsi="Arial" w:cs="Arial"/>
                <w:color w:val="000000" w:themeColor="text1"/>
                <w:sz w:val="20"/>
                <w:szCs w:val="20"/>
                <w:lang w:eastAsia="pt-BR"/>
              </w:rPr>
            </w:pPr>
          </w:p>
        </w:tc>
      </w:tr>
      <w:tr w:rsidR="001C0A44" w:rsidRPr="006D3E2D" w:rsidTr="00BA7EAA">
        <w:trPr>
          <w:trHeight w:val="227"/>
        </w:trPr>
        <w:tc>
          <w:tcPr>
            <w:tcW w:w="510" w:type="dxa"/>
            <w:tcBorders>
              <w:top w:val="nil"/>
              <w:left w:val="single" w:sz="4" w:space="0" w:color="000000"/>
              <w:bottom w:val="single" w:sz="4" w:space="0" w:color="000000"/>
              <w:right w:val="single" w:sz="4" w:space="0" w:color="000000"/>
            </w:tcBorders>
            <w:shd w:val="clear" w:color="008080" w:fill="008080"/>
            <w:vAlign w:val="center"/>
            <w:hideMark/>
          </w:tcPr>
          <w:p w:rsidR="001C0A44" w:rsidRPr="006D3E2D" w:rsidRDefault="001C0A44"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t>2</w:t>
            </w:r>
          </w:p>
        </w:tc>
        <w:tc>
          <w:tcPr>
            <w:tcW w:w="2326" w:type="dxa"/>
            <w:tcBorders>
              <w:top w:val="nil"/>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Dimensiona recursos humanos, tecnológicos e insumos de acordo com a necessidade do serviço.</w:t>
            </w:r>
          </w:p>
        </w:tc>
        <w:tc>
          <w:tcPr>
            <w:tcW w:w="3969" w:type="dxa"/>
            <w:tcBorders>
              <w:top w:val="nil"/>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Dimensionar recursos humanos, tecnológicos e insumos significa calcular a quantidade necessária destes para a prestação de serviço seguro, com qualidade, conforme a necessidade e sem desperdício.</w:t>
            </w:r>
          </w:p>
        </w:tc>
        <w:tc>
          <w:tcPr>
            <w:tcW w:w="4819" w:type="dxa"/>
            <w:tcBorders>
              <w:top w:val="nil"/>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Escala de profissionais; Médico presente durante todo o período de infusão de quimioterápicos; Planejamento das atividades e dos recursos humanos considerando o número de profissionais que correspondam às necessidades dos serviços prestados; Recursos disponíveis são compatíveis com o perfil de atendimento; Processo de aquisição e disponibilização oportuna de medicamentos quimioterápicos.</w:t>
            </w:r>
          </w:p>
        </w:tc>
        <w:tc>
          <w:tcPr>
            <w:tcW w:w="4858" w:type="dxa"/>
            <w:tcBorders>
              <w:top w:val="nil"/>
              <w:left w:val="nil"/>
              <w:bottom w:val="single" w:sz="4" w:space="0" w:color="000000"/>
              <w:right w:val="single" w:sz="4" w:space="0" w:color="000000"/>
            </w:tcBorders>
            <w:shd w:val="clear" w:color="auto" w:fill="auto"/>
            <w:noWrap/>
            <w:vAlign w:val="center"/>
          </w:tcPr>
          <w:p w:rsidR="00A44F8F" w:rsidRPr="006D3E2D" w:rsidRDefault="00A44F8F" w:rsidP="00574EA9">
            <w:pPr>
              <w:pStyle w:val="PargrafodaLista"/>
              <w:tabs>
                <w:tab w:val="left" w:pos="138"/>
              </w:tabs>
              <w:autoSpaceDE w:val="0"/>
              <w:autoSpaceDN w:val="0"/>
              <w:adjustRightInd w:val="0"/>
              <w:spacing w:after="0" w:line="240" w:lineRule="auto"/>
              <w:ind w:left="792"/>
              <w:jc w:val="both"/>
              <w:rPr>
                <w:rFonts w:ascii="Arial" w:eastAsia="Times New Roman" w:hAnsi="Arial" w:cs="Arial"/>
                <w:sz w:val="20"/>
                <w:szCs w:val="20"/>
                <w:lang w:eastAsia="pt-BR"/>
              </w:rPr>
            </w:pPr>
          </w:p>
        </w:tc>
      </w:tr>
      <w:tr w:rsidR="001C0A44" w:rsidRPr="006D3E2D" w:rsidTr="00BA7EAA">
        <w:trPr>
          <w:trHeight w:val="227"/>
        </w:trPr>
        <w:tc>
          <w:tcPr>
            <w:tcW w:w="510" w:type="dxa"/>
            <w:tcBorders>
              <w:top w:val="nil"/>
              <w:left w:val="single" w:sz="4" w:space="0" w:color="000000"/>
              <w:bottom w:val="single" w:sz="4" w:space="0" w:color="000000"/>
              <w:right w:val="single" w:sz="4" w:space="0" w:color="000000"/>
            </w:tcBorders>
            <w:shd w:val="clear" w:color="008080" w:fill="008080"/>
            <w:vAlign w:val="center"/>
            <w:hideMark/>
          </w:tcPr>
          <w:p w:rsidR="001C0A44" w:rsidRPr="006D3E2D" w:rsidRDefault="001C0A44"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t>3</w:t>
            </w:r>
          </w:p>
        </w:tc>
        <w:tc>
          <w:tcPr>
            <w:tcW w:w="2326" w:type="dxa"/>
            <w:tcBorders>
              <w:top w:val="nil"/>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Dispõe de profissionais </w:t>
            </w:r>
            <w:r w:rsidRPr="006D3E2D">
              <w:rPr>
                <w:rFonts w:ascii="Arial" w:eastAsia="Times New Roman" w:hAnsi="Arial" w:cs="Arial"/>
                <w:sz w:val="20"/>
                <w:szCs w:val="20"/>
                <w:lang w:eastAsia="pt-BR"/>
              </w:rPr>
              <w:lastRenderedPageBreak/>
              <w:t>com competências e capacitação compatíveis com a necessidade do serviço.</w:t>
            </w:r>
          </w:p>
        </w:tc>
        <w:tc>
          <w:tcPr>
            <w:tcW w:w="3969" w:type="dxa"/>
            <w:tcBorders>
              <w:top w:val="nil"/>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lastRenderedPageBreak/>
              <w:t xml:space="preserve">Competência é o conjunto de habilidades </w:t>
            </w:r>
            <w:r w:rsidRPr="006D3E2D">
              <w:rPr>
                <w:rFonts w:ascii="Arial" w:eastAsia="Times New Roman" w:hAnsi="Arial" w:cs="Arial"/>
                <w:sz w:val="20"/>
                <w:szCs w:val="20"/>
                <w:lang w:eastAsia="pt-BR"/>
              </w:rPr>
              <w:lastRenderedPageBreak/>
              <w:t>desenvolvidas e que caracterizam a função desempenhada. Por exemplo, o farmacêutico que manipula quimioterápicos necessita especialização em Oncologia ou comprovação de experiência na área igual ou maior de 3 anos.</w:t>
            </w:r>
          </w:p>
        </w:tc>
        <w:tc>
          <w:tcPr>
            <w:tcW w:w="4819" w:type="dxa"/>
            <w:tcBorders>
              <w:top w:val="nil"/>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lastRenderedPageBreak/>
              <w:t>Registros de responsabilidade técnica</w:t>
            </w:r>
            <w:proofErr w:type="gramStart"/>
            <w:r w:rsidRPr="006D3E2D">
              <w:rPr>
                <w:rFonts w:ascii="Arial" w:eastAsia="Times New Roman" w:hAnsi="Arial" w:cs="Arial"/>
                <w:sz w:val="20"/>
                <w:szCs w:val="20"/>
                <w:lang w:eastAsia="pt-BR"/>
              </w:rPr>
              <w:t xml:space="preserve">  </w:t>
            </w:r>
            <w:proofErr w:type="gramEnd"/>
            <w:r w:rsidRPr="006D3E2D">
              <w:rPr>
                <w:rFonts w:ascii="Arial" w:eastAsia="Times New Roman" w:hAnsi="Arial" w:cs="Arial"/>
                <w:sz w:val="20"/>
                <w:szCs w:val="20"/>
                <w:lang w:eastAsia="pt-BR"/>
              </w:rPr>
              <w:t xml:space="preserve">para médico, </w:t>
            </w:r>
            <w:r w:rsidRPr="006D3E2D">
              <w:rPr>
                <w:rFonts w:ascii="Arial" w:eastAsia="Times New Roman" w:hAnsi="Arial" w:cs="Arial"/>
                <w:sz w:val="20"/>
                <w:szCs w:val="20"/>
                <w:lang w:eastAsia="pt-BR"/>
              </w:rPr>
              <w:lastRenderedPageBreak/>
              <w:t xml:space="preserve">enfermeiro e farmacêutico; Registros dos profissionais no conselho de classe; </w:t>
            </w:r>
            <w:r w:rsidRPr="006D3E2D">
              <w:rPr>
                <w:rFonts w:ascii="Arial" w:eastAsia="Times New Roman" w:hAnsi="Arial" w:cs="Arial"/>
                <w:sz w:val="20"/>
                <w:szCs w:val="20"/>
                <w:lang w:eastAsia="pt-BR"/>
              </w:rPr>
              <w:br/>
              <w:t xml:space="preserve">Capacitações desenvolvidas com as equipes de trabalho. </w:t>
            </w:r>
          </w:p>
        </w:tc>
        <w:tc>
          <w:tcPr>
            <w:tcW w:w="4858" w:type="dxa"/>
            <w:tcBorders>
              <w:top w:val="nil"/>
              <w:left w:val="nil"/>
              <w:bottom w:val="single" w:sz="4" w:space="0" w:color="000000"/>
              <w:right w:val="single" w:sz="4" w:space="0" w:color="000000"/>
            </w:tcBorders>
            <w:shd w:val="clear" w:color="auto" w:fill="auto"/>
            <w:noWrap/>
            <w:vAlign w:val="center"/>
          </w:tcPr>
          <w:p w:rsidR="001C0A44" w:rsidRPr="006D3E2D" w:rsidRDefault="001C0A44" w:rsidP="00A41244">
            <w:pPr>
              <w:pStyle w:val="PargrafodaLista"/>
              <w:tabs>
                <w:tab w:val="left" w:pos="214"/>
              </w:tabs>
              <w:spacing w:after="0" w:line="240" w:lineRule="auto"/>
              <w:ind w:left="72"/>
              <w:rPr>
                <w:rFonts w:ascii="Arial" w:eastAsia="Times New Roman" w:hAnsi="Arial" w:cs="Arial"/>
                <w:color w:val="000000" w:themeColor="text1"/>
                <w:sz w:val="20"/>
                <w:szCs w:val="20"/>
                <w:lang w:eastAsia="pt-BR"/>
              </w:rPr>
            </w:pPr>
          </w:p>
        </w:tc>
      </w:tr>
      <w:tr w:rsidR="001C0A44" w:rsidRPr="006D3E2D" w:rsidTr="002D7578">
        <w:trPr>
          <w:trHeight w:val="227"/>
        </w:trPr>
        <w:tc>
          <w:tcPr>
            <w:tcW w:w="510" w:type="dxa"/>
            <w:tcBorders>
              <w:top w:val="nil"/>
              <w:left w:val="single" w:sz="4" w:space="0" w:color="000000"/>
              <w:bottom w:val="single" w:sz="4" w:space="0" w:color="000000"/>
              <w:right w:val="single" w:sz="4" w:space="0" w:color="000000"/>
            </w:tcBorders>
            <w:shd w:val="clear" w:color="008080" w:fill="008080"/>
            <w:vAlign w:val="center"/>
            <w:hideMark/>
          </w:tcPr>
          <w:p w:rsidR="001C0A44" w:rsidRPr="006D3E2D" w:rsidRDefault="001C0A44"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lastRenderedPageBreak/>
              <w:t>4</w:t>
            </w:r>
          </w:p>
        </w:tc>
        <w:tc>
          <w:tcPr>
            <w:tcW w:w="2326" w:type="dxa"/>
            <w:tcBorders>
              <w:top w:val="nil"/>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Identifica necessidade de treinamentos e capacitação frente às demandas assistenciais.</w:t>
            </w:r>
          </w:p>
        </w:tc>
        <w:tc>
          <w:tcPr>
            <w:tcW w:w="3969" w:type="dxa"/>
            <w:tcBorders>
              <w:top w:val="nil"/>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Identificação das necessidades pode ser por mudança em algum processo, reativa a problemas encontrados ou para reiterar as práticas já implantadas.</w:t>
            </w:r>
          </w:p>
        </w:tc>
        <w:tc>
          <w:tcPr>
            <w:tcW w:w="4819" w:type="dxa"/>
            <w:tcBorders>
              <w:top w:val="nil"/>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color w:val="FF0000"/>
                <w:sz w:val="20"/>
                <w:szCs w:val="20"/>
                <w:lang w:eastAsia="pt-BR"/>
              </w:rPr>
            </w:pPr>
            <w:r w:rsidRPr="006D3E2D">
              <w:rPr>
                <w:rFonts w:ascii="Arial" w:eastAsia="Times New Roman" w:hAnsi="Arial" w:cs="Arial"/>
                <w:color w:val="000000" w:themeColor="text1"/>
                <w:sz w:val="20"/>
                <w:szCs w:val="20"/>
                <w:lang w:eastAsia="pt-BR"/>
              </w:rPr>
              <w:t>Registros de treinamentos alinhadas com as necessidades identificadas da área, com periodicidade definida e se há capacitações alinhadas ao plano estratégico institucional. Treinamentos formais, reconhecidos, específicos de capacitação para atendimento de emergências, tais como: ACLS / BLS / ATLS, considerando porte e atuação do serviço.</w:t>
            </w:r>
          </w:p>
        </w:tc>
        <w:tc>
          <w:tcPr>
            <w:tcW w:w="4858" w:type="dxa"/>
            <w:tcBorders>
              <w:top w:val="nil"/>
              <w:left w:val="nil"/>
              <w:bottom w:val="single" w:sz="4" w:space="0" w:color="auto"/>
              <w:right w:val="single" w:sz="4" w:space="0" w:color="000000"/>
            </w:tcBorders>
            <w:shd w:val="clear" w:color="auto" w:fill="auto"/>
            <w:noWrap/>
            <w:vAlign w:val="center"/>
          </w:tcPr>
          <w:p w:rsidR="005D53A8" w:rsidRPr="006D3E2D" w:rsidRDefault="005D53A8" w:rsidP="00574EA9">
            <w:pPr>
              <w:pStyle w:val="PargrafodaLista"/>
              <w:tabs>
                <w:tab w:val="left" w:pos="214"/>
              </w:tabs>
              <w:spacing w:after="0" w:line="240" w:lineRule="auto"/>
              <w:ind w:left="72"/>
              <w:jc w:val="both"/>
              <w:rPr>
                <w:rFonts w:ascii="Arial" w:eastAsia="Times New Roman" w:hAnsi="Arial" w:cs="Arial"/>
                <w:sz w:val="20"/>
                <w:szCs w:val="20"/>
                <w:lang w:eastAsia="pt-BR"/>
              </w:rPr>
            </w:pPr>
          </w:p>
        </w:tc>
      </w:tr>
      <w:tr w:rsidR="001C0A44" w:rsidRPr="006D3E2D" w:rsidTr="002D7578">
        <w:trPr>
          <w:trHeight w:val="227"/>
        </w:trPr>
        <w:tc>
          <w:tcPr>
            <w:tcW w:w="510" w:type="dxa"/>
            <w:tcBorders>
              <w:top w:val="nil"/>
              <w:left w:val="single" w:sz="4" w:space="0" w:color="000000"/>
              <w:bottom w:val="single" w:sz="4" w:space="0" w:color="000000"/>
              <w:right w:val="single" w:sz="4" w:space="0" w:color="auto"/>
            </w:tcBorders>
            <w:shd w:val="clear" w:color="008080" w:fill="008080"/>
            <w:vAlign w:val="center"/>
            <w:hideMark/>
          </w:tcPr>
          <w:p w:rsidR="001C0A44" w:rsidRPr="006D3E2D" w:rsidRDefault="001C0A44"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t>5</w:t>
            </w:r>
          </w:p>
        </w:tc>
        <w:tc>
          <w:tcPr>
            <w:tcW w:w="2326" w:type="dxa"/>
            <w:tcBorders>
              <w:top w:val="single" w:sz="4" w:space="0" w:color="auto"/>
              <w:left w:val="single" w:sz="4" w:space="0" w:color="auto"/>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Planeja as atividades, avaliando as condições operacionais e de infraestrutura, viabilizando a execução dos processos de trabalho de forma segura.</w:t>
            </w:r>
          </w:p>
        </w:tc>
        <w:tc>
          <w:tcPr>
            <w:tcW w:w="3969" w:type="dxa"/>
            <w:tcBorders>
              <w:top w:val="single" w:sz="4" w:space="0" w:color="auto"/>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Padroniza, formaliza e revisa sistematicamente as condições de infraestrutura e os processo operacionais conforme diretrizes da Gestão da Qualidade com foco na capacitação da equipe para a mitigação de incidentes. Apresenta mudanças na infraestrutura e/ou na execução de processos de trabalho para melhoria da segurança dos pacientes.</w:t>
            </w:r>
          </w:p>
        </w:tc>
        <w:tc>
          <w:tcPr>
            <w:tcW w:w="4819" w:type="dxa"/>
            <w:tcBorders>
              <w:top w:val="single" w:sz="4" w:space="0" w:color="auto"/>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Registros de treinamentos alinhadas com as necessidades identificadas da área, com periodicidade definida e se há capacitações alinhadas ao plano estratégico institucional; Verificação de processos de trabalho definidos, formalizados e de conhecimento dos profissionais da área; Verificação das alterações de processos são formalizadas para as equipes internas e para os demais serviços impactados com as mudanças; </w:t>
            </w:r>
          </w:p>
        </w:tc>
        <w:tc>
          <w:tcPr>
            <w:tcW w:w="4858" w:type="dxa"/>
            <w:tcBorders>
              <w:top w:val="single" w:sz="4" w:space="0" w:color="auto"/>
              <w:left w:val="nil"/>
              <w:bottom w:val="single" w:sz="4" w:space="0" w:color="auto"/>
              <w:right w:val="single" w:sz="4" w:space="0" w:color="auto"/>
            </w:tcBorders>
            <w:shd w:val="clear" w:color="auto" w:fill="auto"/>
            <w:noWrap/>
            <w:vAlign w:val="center"/>
          </w:tcPr>
          <w:p w:rsidR="001C0A44" w:rsidRPr="006D3E2D" w:rsidRDefault="001C0A44" w:rsidP="00574EA9">
            <w:pPr>
              <w:pStyle w:val="PargrafodaLista"/>
              <w:tabs>
                <w:tab w:val="left" w:pos="142"/>
                <w:tab w:val="left" w:pos="214"/>
              </w:tabs>
              <w:autoSpaceDE w:val="0"/>
              <w:autoSpaceDN w:val="0"/>
              <w:adjustRightInd w:val="0"/>
              <w:spacing w:after="0" w:line="240" w:lineRule="auto"/>
              <w:ind w:left="72"/>
              <w:jc w:val="both"/>
              <w:rPr>
                <w:rFonts w:ascii="Arial" w:eastAsia="Times New Roman" w:hAnsi="Arial" w:cs="Arial"/>
                <w:sz w:val="20"/>
                <w:szCs w:val="20"/>
                <w:lang w:eastAsia="pt-BR"/>
              </w:rPr>
            </w:pPr>
          </w:p>
        </w:tc>
      </w:tr>
      <w:tr w:rsidR="001C0A44" w:rsidRPr="006D3E2D" w:rsidTr="00574EA9">
        <w:trPr>
          <w:trHeight w:val="227"/>
        </w:trPr>
        <w:tc>
          <w:tcPr>
            <w:tcW w:w="510" w:type="dxa"/>
            <w:tcBorders>
              <w:top w:val="nil"/>
              <w:left w:val="single" w:sz="4" w:space="0" w:color="000000"/>
              <w:bottom w:val="single" w:sz="4" w:space="0" w:color="000000"/>
              <w:right w:val="single" w:sz="4" w:space="0" w:color="000000"/>
            </w:tcBorders>
            <w:shd w:val="clear" w:color="008080" w:fill="008080"/>
            <w:vAlign w:val="center"/>
            <w:hideMark/>
          </w:tcPr>
          <w:p w:rsidR="001C0A44" w:rsidRPr="006D3E2D" w:rsidRDefault="001C0A44"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t>6</w:t>
            </w:r>
          </w:p>
        </w:tc>
        <w:tc>
          <w:tcPr>
            <w:tcW w:w="2326" w:type="dxa"/>
            <w:tcBorders>
              <w:top w:val="single" w:sz="4" w:space="0" w:color="auto"/>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Cumpre protocolo multidisciplinar para a segurança da cadeia medicamentosa.</w:t>
            </w:r>
          </w:p>
        </w:tc>
        <w:tc>
          <w:tcPr>
            <w:tcW w:w="3969" w:type="dxa"/>
            <w:tcBorders>
              <w:top w:val="single" w:sz="4" w:space="0" w:color="auto"/>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Participa da elaboração/construção do protocolo. Existe um documento que define os papéis e responsabilidades para direcionamento dos profissionais que atuam nos processos da cadeia medicamentosa.</w:t>
            </w:r>
          </w:p>
        </w:tc>
        <w:tc>
          <w:tcPr>
            <w:tcW w:w="4819" w:type="dxa"/>
            <w:tcBorders>
              <w:top w:val="single" w:sz="4" w:space="0" w:color="auto"/>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Documento atualizado, se todas as etapas da cadeia medicamentosa estão contemplados no documento e se na observação em serviço os papéis e responsabilidades estão sendo executados pelos diversos profissionais que atuam na cadeia.</w:t>
            </w:r>
          </w:p>
        </w:tc>
        <w:tc>
          <w:tcPr>
            <w:tcW w:w="4858" w:type="dxa"/>
            <w:tcBorders>
              <w:top w:val="single" w:sz="4" w:space="0" w:color="auto"/>
              <w:left w:val="nil"/>
              <w:bottom w:val="single" w:sz="4" w:space="0" w:color="000000"/>
              <w:right w:val="single" w:sz="4" w:space="0" w:color="000000"/>
            </w:tcBorders>
            <w:shd w:val="clear" w:color="auto" w:fill="auto"/>
            <w:noWrap/>
            <w:vAlign w:val="center"/>
          </w:tcPr>
          <w:p w:rsidR="001C0A44" w:rsidRPr="006D3E2D" w:rsidRDefault="001C0A44" w:rsidP="00B054D7">
            <w:pPr>
              <w:spacing w:after="0" w:line="240" w:lineRule="auto"/>
              <w:rPr>
                <w:rFonts w:ascii="Arial" w:eastAsia="Times New Roman" w:hAnsi="Arial" w:cs="Arial"/>
                <w:color w:val="000000"/>
                <w:sz w:val="20"/>
                <w:szCs w:val="20"/>
                <w:lang w:eastAsia="pt-BR"/>
              </w:rPr>
            </w:pPr>
          </w:p>
        </w:tc>
      </w:tr>
      <w:tr w:rsidR="001C0A44" w:rsidRPr="006D3E2D" w:rsidTr="00574EA9">
        <w:trPr>
          <w:trHeight w:val="227"/>
        </w:trPr>
        <w:tc>
          <w:tcPr>
            <w:tcW w:w="510" w:type="dxa"/>
            <w:tcBorders>
              <w:top w:val="nil"/>
              <w:left w:val="single" w:sz="4" w:space="0" w:color="000000"/>
              <w:bottom w:val="single" w:sz="4" w:space="0" w:color="000000"/>
              <w:right w:val="single" w:sz="4" w:space="0" w:color="000000"/>
            </w:tcBorders>
            <w:shd w:val="clear" w:color="008080" w:fill="008080"/>
            <w:vAlign w:val="center"/>
            <w:hideMark/>
          </w:tcPr>
          <w:p w:rsidR="001C0A44" w:rsidRPr="006D3E2D" w:rsidRDefault="001C0A44"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t>7</w:t>
            </w:r>
          </w:p>
        </w:tc>
        <w:tc>
          <w:tcPr>
            <w:tcW w:w="2326" w:type="dxa"/>
            <w:tcBorders>
              <w:top w:val="nil"/>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Monitora a manutenção preventiva e corretiva das instalações e dos equipamentos, incluindo a calibração.</w:t>
            </w:r>
          </w:p>
        </w:tc>
        <w:tc>
          <w:tcPr>
            <w:tcW w:w="3969" w:type="dxa"/>
            <w:tcBorders>
              <w:top w:val="nil"/>
              <w:left w:val="nil"/>
              <w:bottom w:val="single" w:sz="4" w:space="0" w:color="auto"/>
              <w:right w:val="single" w:sz="4" w:space="0" w:color="auto"/>
            </w:tcBorders>
            <w:shd w:val="clear" w:color="FFFFFF" w:fill="FFFFFF"/>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Processos de manutenção preventiva e corretiva são estabelecidos pela manutenção predial e engenharia clínica, e o monitoramento realizado em conjunto com a área, possibilitando revisão e ajustes necessários. Este monitoramento poderá ser feito em planilhas ou sistema eletrônicos (específicos ou não de manutenção). Para os</w:t>
            </w:r>
            <w:proofErr w:type="gramStart"/>
            <w:r w:rsidRPr="006D3E2D">
              <w:rPr>
                <w:rFonts w:ascii="Arial" w:eastAsia="Times New Roman" w:hAnsi="Arial" w:cs="Arial"/>
                <w:sz w:val="20"/>
                <w:szCs w:val="20"/>
                <w:lang w:eastAsia="pt-BR"/>
              </w:rPr>
              <w:t xml:space="preserve">  </w:t>
            </w:r>
            <w:proofErr w:type="gramEnd"/>
            <w:r w:rsidRPr="006D3E2D">
              <w:rPr>
                <w:rFonts w:ascii="Arial" w:eastAsia="Times New Roman" w:hAnsi="Arial" w:cs="Arial"/>
                <w:sz w:val="20"/>
                <w:szCs w:val="20"/>
                <w:lang w:eastAsia="pt-BR"/>
              </w:rPr>
              <w:t>equipamentos o uso de etiquetas poderá ser empregado para registro das manutenções e das calibrações, por exemplo.</w:t>
            </w:r>
          </w:p>
        </w:tc>
        <w:tc>
          <w:tcPr>
            <w:tcW w:w="4819" w:type="dxa"/>
            <w:tcBorders>
              <w:top w:val="nil"/>
              <w:left w:val="nil"/>
              <w:bottom w:val="single" w:sz="4" w:space="0" w:color="auto"/>
              <w:right w:val="single" w:sz="4" w:space="0" w:color="auto"/>
            </w:tcBorders>
            <w:shd w:val="clear" w:color="FFFFFF" w:fill="FFFFFF"/>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Método formalizado para gerenciamento das manutenções preventivas e corretivas e como é o acompanhamento pela área; Ciência dos colaboradores sobre a abertura de ordens de serviço de manutenção corretiva e o acompanhamento do calendário de manutenções preventivas; Execução de uma manutenção para avaliar quais etapas foram cumpridas (por exemplo a abertura de chamado, tempo de resposta e avaliação da resolução do problema).</w:t>
            </w:r>
          </w:p>
        </w:tc>
        <w:tc>
          <w:tcPr>
            <w:tcW w:w="4858" w:type="dxa"/>
            <w:tcBorders>
              <w:top w:val="nil"/>
              <w:left w:val="nil"/>
              <w:bottom w:val="single" w:sz="4" w:space="0" w:color="auto"/>
              <w:right w:val="single" w:sz="4" w:space="0" w:color="000000"/>
            </w:tcBorders>
            <w:shd w:val="clear" w:color="auto" w:fill="auto"/>
            <w:noWrap/>
            <w:vAlign w:val="center"/>
          </w:tcPr>
          <w:p w:rsidR="001C0A44" w:rsidRPr="006D3E2D" w:rsidRDefault="001C0A44" w:rsidP="00527462">
            <w:pPr>
              <w:spacing w:after="0" w:line="240" w:lineRule="auto"/>
              <w:rPr>
                <w:rFonts w:ascii="Arial" w:eastAsia="Times New Roman" w:hAnsi="Arial" w:cs="Arial"/>
                <w:color w:val="000000"/>
                <w:sz w:val="20"/>
                <w:szCs w:val="20"/>
                <w:lang w:eastAsia="pt-BR"/>
              </w:rPr>
            </w:pPr>
          </w:p>
        </w:tc>
      </w:tr>
      <w:tr w:rsidR="001C0A44" w:rsidRPr="006D3E2D" w:rsidTr="00574EA9">
        <w:trPr>
          <w:trHeight w:val="227"/>
        </w:trPr>
        <w:tc>
          <w:tcPr>
            <w:tcW w:w="510" w:type="dxa"/>
            <w:tcBorders>
              <w:top w:val="nil"/>
              <w:left w:val="single" w:sz="4" w:space="0" w:color="000000"/>
              <w:bottom w:val="single" w:sz="4" w:space="0" w:color="000000"/>
              <w:right w:val="single" w:sz="4" w:space="0" w:color="auto"/>
            </w:tcBorders>
            <w:shd w:val="clear" w:color="008080" w:fill="008080"/>
            <w:vAlign w:val="center"/>
            <w:hideMark/>
          </w:tcPr>
          <w:p w:rsidR="001C0A44" w:rsidRPr="006D3E2D" w:rsidRDefault="001C0A44"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t>8</w:t>
            </w:r>
          </w:p>
        </w:tc>
        <w:tc>
          <w:tcPr>
            <w:tcW w:w="2326" w:type="dxa"/>
            <w:tcBorders>
              <w:top w:val="single" w:sz="4" w:space="0" w:color="auto"/>
              <w:left w:val="single" w:sz="4" w:space="0" w:color="auto"/>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Cumpre os critérios e procedimentos de segurança para a utilização de equipamentos.</w:t>
            </w:r>
          </w:p>
        </w:tc>
        <w:tc>
          <w:tcPr>
            <w:tcW w:w="3969" w:type="dxa"/>
            <w:tcBorders>
              <w:top w:val="single" w:sz="4" w:space="0" w:color="auto"/>
              <w:left w:val="nil"/>
              <w:bottom w:val="single" w:sz="4" w:space="0" w:color="auto"/>
              <w:right w:val="single" w:sz="4" w:space="0" w:color="auto"/>
            </w:tcBorders>
            <w:shd w:val="clear" w:color="FFFFFF" w:fill="FFFFFF"/>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Processos são instituídos para a garantia de acesso facilitado a informações atualizadas sobre equipamentos e identificação da necessidade de capacitação das equipes para uso correto e seguro.</w:t>
            </w:r>
          </w:p>
        </w:tc>
        <w:tc>
          <w:tcPr>
            <w:tcW w:w="4819" w:type="dxa"/>
            <w:tcBorders>
              <w:top w:val="single" w:sz="4" w:space="0" w:color="auto"/>
              <w:left w:val="nil"/>
              <w:bottom w:val="single" w:sz="4" w:space="0" w:color="auto"/>
              <w:right w:val="single" w:sz="4" w:space="0" w:color="auto"/>
            </w:tcBorders>
            <w:shd w:val="clear" w:color="FFFFFF" w:fill="FFFFFF"/>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Disponibilidade de documentos </w:t>
            </w:r>
            <w:proofErr w:type="spellStart"/>
            <w:r w:rsidRPr="006D3E2D">
              <w:rPr>
                <w:rFonts w:ascii="Arial" w:eastAsia="Times New Roman" w:hAnsi="Arial" w:cs="Arial"/>
                <w:sz w:val="20"/>
                <w:szCs w:val="20"/>
                <w:lang w:eastAsia="pt-BR"/>
              </w:rPr>
              <w:t>orientativos</w:t>
            </w:r>
            <w:proofErr w:type="spellEnd"/>
            <w:r w:rsidRPr="006D3E2D">
              <w:rPr>
                <w:rFonts w:ascii="Arial" w:eastAsia="Times New Roman" w:hAnsi="Arial" w:cs="Arial"/>
                <w:sz w:val="20"/>
                <w:szCs w:val="20"/>
                <w:lang w:eastAsia="pt-BR"/>
              </w:rPr>
              <w:t xml:space="preserve"> para utilização segura de equipamentos; Evidências que comprovem a calibração para equipamentos de medição e teste de segurança elétrica para equipamentos médicos conforme periodicidade estabelecida pela organização; Verificação dos </w:t>
            </w:r>
            <w:r w:rsidRPr="006D3E2D">
              <w:rPr>
                <w:rFonts w:ascii="Arial" w:eastAsia="Times New Roman" w:hAnsi="Arial" w:cs="Arial"/>
                <w:sz w:val="20"/>
                <w:szCs w:val="20"/>
                <w:lang w:eastAsia="pt-BR"/>
              </w:rPr>
              <w:lastRenderedPageBreak/>
              <w:t xml:space="preserve">equipamentos estão em boas condições de instalação e segurança ao uso; </w:t>
            </w:r>
            <w:r w:rsidRPr="006D3E2D">
              <w:rPr>
                <w:rFonts w:ascii="Arial" w:eastAsia="Times New Roman" w:hAnsi="Arial" w:cs="Arial"/>
                <w:sz w:val="20"/>
                <w:szCs w:val="20"/>
                <w:lang w:eastAsia="pt-BR"/>
              </w:rPr>
              <w:br/>
              <w:t>Rotinas de limpezas dos equipamentos formalizados e validados pelo controle de infecção.</w:t>
            </w:r>
          </w:p>
        </w:tc>
        <w:tc>
          <w:tcPr>
            <w:tcW w:w="4858" w:type="dxa"/>
            <w:tcBorders>
              <w:top w:val="single" w:sz="4" w:space="0" w:color="auto"/>
              <w:left w:val="nil"/>
              <w:bottom w:val="single" w:sz="4" w:space="0" w:color="auto"/>
              <w:right w:val="single" w:sz="4" w:space="0" w:color="auto"/>
            </w:tcBorders>
            <w:shd w:val="clear" w:color="auto" w:fill="auto"/>
            <w:noWrap/>
            <w:vAlign w:val="center"/>
          </w:tcPr>
          <w:p w:rsidR="001C0A44" w:rsidRPr="006D3E2D" w:rsidRDefault="001C0A44" w:rsidP="00087697">
            <w:pPr>
              <w:pStyle w:val="PargrafodaLista"/>
              <w:tabs>
                <w:tab w:val="left" w:pos="214"/>
              </w:tabs>
              <w:spacing w:after="0" w:line="240" w:lineRule="auto"/>
              <w:ind w:left="72"/>
              <w:jc w:val="both"/>
              <w:rPr>
                <w:rFonts w:ascii="Arial" w:eastAsia="Times New Roman" w:hAnsi="Arial" w:cs="Arial"/>
                <w:color w:val="000000"/>
                <w:sz w:val="20"/>
                <w:szCs w:val="20"/>
                <w:lang w:eastAsia="pt-BR"/>
              </w:rPr>
            </w:pPr>
          </w:p>
        </w:tc>
      </w:tr>
      <w:tr w:rsidR="001C0A44" w:rsidRPr="006D3E2D" w:rsidTr="00574EA9">
        <w:trPr>
          <w:trHeight w:val="227"/>
        </w:trPr>
        <w:tc>
          <w:tcPr>
            <w:tcW w:w="510" w:type="dxa"/>
            <w:tcBorders>
              <w:top w:val="nil"/>
              <w:left w:val="single" w:sz="4" w:space="0" w:color="000000"/>
              <w:bottom w:val="single" w:sz="4" w:space="0" w:color="000000"/>
              <w:right w:val="single" w:sz="4" w:space="0" w:color="000000"/>
            </w:tcBorders>
            <w:shd w:val="clear" w:color="008080" w:fill="008080"/>
            <w:vAlign w:val="center"/>
            <w:hideMark/>
          </w:tcPr>
          <w:p w:rsidR="001C0A44" w:rsidRPr="006D3E2D" w:rsidRDefault="001C0A44"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lastRenderedPageBreak/>
              <w:t>9</w:t>
            </w:r>
          </w:p>
        </w:tc>
        <w:tc>
          <w:tcPr>
            <w:tcW w:w="2326" w:type="dxa"/>
            <w:tcBorders>
              <w:top w:val="single" w:sz="4" w:space="0" w:color="auto"/>
              <w:left w:val="nil"/>
              <w:bottom w:val="single" w:sz="4" w:space="0" w:color="auto"/>
              <w:right w:val="single" w:sz="4" w:space="0" w:color="auto"/>
            </w:tcBorders>
            <w:shd w:val="clear" w:color="000000" w:fill="E2EFDA"/>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Cumpre com as diretrizes dos protocolos de segurança do paciente.</w:t>
            </w:r>
          </w:p>
        </w:tc>
        <w:tc>
          <w:tcPr>
            <w:tcW w:w="3969" w:type="dxa"/>
            <w:tcBorders>
              <w:top w:val="single" w:sz="4" w:space="0" w:color="auto"/>
              <w:left w:val="nil"/>
              <w:bottom w:val="single" w:sz="4" w:space="0" w:color="auto"/>
              <w:right w:val="single" w:sz="4" w:space="0" w:color="auto"/>
            </w:tcBorders>
            <w:shd w:val="clear" w:color="000000" w:fill="E2EFDA"/>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Os protocolos de segurança do paciente podem incluir além da identificação segura do paciente e prevenção de quedas, a ocorrência de flebite e extravasamento de quimioterápicos, por exemplo.</w:t>
            </w:r>
          </w:p>
        </w:tc>
        <w:tc>
          <w:tcPr>
            <w:tcW w:w="4819" w:type="dxa"/>
            <w:tcBorders>
              <w:top w:val="single" w:sz="4" w:space="0" w:color="auto"/>
              <w:left w:val="nil"/>
              <w:bottom w:val="single" w:sz="4" w:space="0" w:color="auto"/>
              <w:right w:val="single" w:sz="4" w:space="0" w:color="auto"/>
            </w:tcBorders>
            <w:shd w:val="clear" w:color="000000" w:fill="E2EFDA"/>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Processos alinhados às diretrizes formalizadas no plano de segurança do paciente da organização; Evidências de barreiras ou medidas preventivas para evitar ou minimizar danos relacionados aos riscos identificados;</w:t>
            </w:r>
            <w:r w:rsidRPr="006D3E2D">
              <w:rPr>
                <w:rFonts w:ascii="Arial" w:eastAsia="Times New Roman" w:hAnsi="Arial" w:cs="Arial"/>
                <w:sz w:val="20"/>
                <w:szCs w:val="20"/>
                <w:lang w:eastAsia="pt-BR"/>
              </w:rPr>
              <w:br/>
              <w:t>Entrevistas à equipe multiprofissional para avaliar compreensão dos mesmos em relação aos protocolos.</w:t>
            </w:r>
          </w:p>
        </w:tc>
        <w:tc>
          <w:tcPr>
            <w:tcW w:w="4858" w:type="dxa"/>
            <w:tcBorders>
              <w:top w:val="single" w:sz="4" w:space="0" w:color="auto"/>
              <w:left w:val="nil"/>
              <w:bottom w:val="single" w:sz="4" w:space="0" w:color="000000"/>
              <w:right w:val="single" w:sz="4" w:space="0" w:color="000000"/>
            </w:tcBorders>
            <w:shd w:val="clear" w:color="auto" w:fill="auto"/>
            <w:noWrap/>
            <w:vAlign w:val="center"/>
          </w:tcPr>
          <w:p w:rsidR="00087697" w:rsidRPr="006D3E2D" w:rsidRDefault="00087697" w:rsidP="00574EA9">
            <w:pPr>
              <w:pStyle w:val="PargrafodaLista"/>
              <w:spacing w:after="0" w:line="240" w:lineRule="auto"/>
              <w:ind w:left="72"/>
              <w:jc w:val="both"/>
              <w:rPr>
                <w:rFonts w:ascii="Arial" w:eastAsia="Times New Roman" w:hAnsi="Arial" w:cs="Arial"/>
                <w:color w:val="000000"/>
                <w:sz w:val="20"/>
                <w:szCs w:val="20"/>
                <w:lang w:eastAsia="pt-BR"/>
              </w:rPr>
            </w:pPr>
          </w:p>
        </w:tc>
      </w:tr>
      <w:tr w:rsidR="001C0A44" w:rsidRPr="006D3E2D" w:rsidTr="00574EA9">
        <w:trPr>
          <w:trHeight w:val="227"/>
        </w:trPr>
        <w:tc>
          <w:tcPr>
            <w:tcW w:w="510" w:type="dxa"/>
            <w:tcBorders>
              <w:top w:val="nil"/>
              <w:left w:val="single" w:sz="4" w:space="0" w:color="000000"/>
              <w:bottom w:val="single" w:sz="4" w:space="0" w:color="000000"/>
              <w:right w:val="single" w:sz="4" w:space="0" w:color="000000"/>
            </w:tcBorders>
            <w:shd w:val="clear" w:color="008080" w:fill="008080"/>
            <w:vAlign w:val="center"/>
            <w:hideMark/>
          </w:tcPr>
          <w:p w:rsidR="001C0A44" w:rsidRPr="006D3E2D" w:rsidRDefault="001C0A44"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t>10</w:t>
            </w:r>
          </w:p>
        </w:tc>
        <w:tc>
          <w:tcPr>
            <w:tcW w:w="2326" w:type="dxa"/>
            <w:tcBorders>
              <w:top w:val="nil"/>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Cumpre os protocolos de prevenção e controle de infecção e biossegurança.</w:t>
            </w:r>
          </w:p>
        </w:tc>
        <w:tc>
          <w:tcPr>
            <w:tcW w:w="3969" w:type="dxa"/>
            <w:tcBorders>
              <w:top w:val="nil"/>
              <w:left w:val="nil"/>
              <w:bottom w:val="single" w:sz="4" w:space="0" w:color="auto"/>
              <w:right w:val="single" w:sz="4" w:space="0" w:color="auto"/>
            </w:tcBorders>
            <w:shd w:val="clear" w:color="FFFFFF" w:fill="FFFFFF"/>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Protocolos podem incluir higienização de mãos, o uso correto de EPIs e a organização e limpeza dos ambientes bem como controles microbiológicos das áreas críticas (especialmente de manipulação de quimioterápicos). Taxas de infecção devem ser monitoradas.</w:t>
            </w:r>
          </w:p>
        </w:tc>
        <w:tc>
          <w:tcPr>
            <w:tcW w:w="4819" w:type="dxa"/>
            <w:tcBorders>
              <w:top w:val="nil"/>
              <w:left w:val="nil"/>
              <w:bottom w:val="single" w:sz="4" w:space="0" w:color="auto"/>
              <w:right w:val="single" w:sz="4" w:space="0" w:color="auto"/>
            </w:tcBorders>
            <w:shd w:val="clear" w:color="FFFFFF" w:fill="FFFFFF"/>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Processo de monitoramento de antimicrobianos e diretrizes para </w:t>
            </w:r>
            <w:proofErr w:type="spellStart"/>
            <w:r w:rsidRPr="006D3E2D">
              <w:rPr>
                <w:rFonts w:ascii="Arial" w:eastAsia="Times New Roman" w:hAnsi="Arial" w:cs="Arial"/>
                <w:sz w:val="20"/>
                <w:szCs w:val="20"/>
                <w:lang w:eastAsia="pt-BR"/>
              </w:rPr>
              <w:t>neutropenia</w:t>
            </w:r>
            <w:proofErr w:type="spellEnd"/>
            <w:r w:rsidRPr="006D3E2D">
              <w:rPr>
                <w:rFonts w:ascii="Arial" w:eastAsia="Times New Roman" w:hAnsi="Arial" w:cs="Arial"/>
                <w:sz w:val="20"/>
                <w:szCs w:val="20"/>
                <w:lang w:eastAsia="pt-BR"/>
              </w:rPr>
              <w:t xml:space="preserve"> febril; Verificação da segurança da estrutura física das áreas críticas conforme as legislações vigentes; Presença e adequação do acondicionamento de resíduos e seu fluxo de saída da área; </w:t>
            </w:r>
            <w:r w:rsidRPr="006D3E2D">
              <w:rPr>
                <w:rFonts w:ascii="Arial" w:eastAsia="Times New Roman" w:hAnsi="Arial" w:cs="Arial"/>
                <w:sz w:val="20"/>
                <w:szCs w:val="20"/>
                <w:lang w:eastAsia="pt-BR"/>
              </w:rPr>
              <w:br w:type="page"/>
              <w:t xml:space="preserve">Verificação de fluxo cruzado na área de manipulação de quimioterápicos; </w:t>
            </w:r>
            <w:r w:rsidRPr="006D3E2D">
              <w:rPr>
                <w:rFonts w:ascii="Arial" w:eastAsia="Times New Roman" w:hAnsi="Arial" w:cs="Arial"/>
                <w:sz w:val="20"/>
                <w:szCs w:val="20"/>
                <w:lang w:eastAsia="pt-BR"/>
              </w:rPr>
              <w:br w:type="page"/>
              <w:t xml:space="preserve">Disponibilização de álcool gel e pias com sabonete para higiene de mãos; </w:t>
            </w:r>
            <w:r w:rsidRPr="006D3E2D">
              <w:rPr>
                <w:rFonts w:ascii="Arial" w:eastAsia="Times New Roman" w:hAnsi="Arial" w:cs="Arial"/>
                <w:sz w:val="20"/>
                <w:szCs w:val="20"/>
                <w:lang w:eastAsia="pt-BR"/>
              </w:rPr>
              <w:br w:type="page"/>
              <w:t>Monitoramento dos índices de infecções, considerando o perfil de cada serviço.</w:t>
            </w:r>
          </w:p>
        </w:tc>
        <w:tc>
          <w:tcPr>
            <w:tcW w:w="4858" w:type="dxa"/>
            <w:tcBorders>
              <w:top w:val="nil"/>
              <w:left w:val="nil"/>
              <w:bottom w:val="single" w:sz="4" w:space="0" w:color="000000"/>
              <w:right w:val="single" w:sz="4" w:space="0" w:color="000000"/>
            </w:tcBorders>
            <w:shd w:val="clear" w:color="auto" w:fill="auto"/>
            <w:noWrap/>
            <w:vAlign w:val="center"/>
          </w:tcPr>
          <w:p w:rsidR="001C0A44" w:rsidRPr="006D3E2D" w:rsidRDefault="001C0A44" w:rsidP="00BE3752">
            <w:pPr>
              <w:pStyle w:val="PargrafodaLista"/>
              <w:spacing w:after="0" w:line="240" w:lineRule="auto"/>
              <w:ind w:left="72"/>
              <w:jc w:val="both"/>
              <w:rPr>
                <w:rFonts w:ascii="Arial" w:eastAsia="Times New Roman" w:hAnsi="Arial" w:cs="Arial"/>
                <w:color w:val="000000" w:themeColor="text1"/>
                <w:sz w:val="20"/>
                <w:szCs w:val="20"/>
                <w:lang w:eastAsia="pt-BR"/>
              </w:rPr>
            </w:pPr>
          </w:p>
        </w:tc>
      </w:tr>
      <w:tr w:rsidR="001C0A44" w:rsidRPr="006D3E2D" w:rsidTr="00574EA9">
        <w:trPr>
          <w:trHeight w:val="227"/>
        </w:trPr>
        <w:tc>
          <w:tcPr>
            <w:tcW w:w="510" w:type="dxa"/>
            <w:tcBorders>
              <w:top w:val="nil"/>
              <w:left w:val="single" w:sz="4" w:space="0" w:color="000000"/>
              <w:bottom w:val="single" w:sz="4" w:space="0" w:color="000000"/>
              <w:right w:val="single" w:sz="4" w:space="0" w:color="000000"/>
            </w:tcBorders>
            <w:shd w:val="clear" w:color="008080" w:fill="008080"/>
            <w:vAlign w:val="center"/>
            <w:hideMark/>
          </w:tcPr>
          <w:p w:rsidR="001C0A44" w:rsidRPr="006D3E2D" w:rsidRDefault="001C0A44"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t>11</w:t>
            </w:r>
          </w:p>
        </w:tc>
        <w:tc>
          <w:tcPr>
            <w:tcW w:w="2326" w:type="dxa"/>
            <w:tcBorders>
              <w:top w:val="nil"/>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Cumpre com as determinações do plano de gerenciamento de resíduos.</w:t>
            </w:r>
          </w:p>
        </w:tc>
        <w:tc>
          <w:tcPr>
            <w:tcW w:w="3969" w:type="dxa"/>
            <w:tcBorders>
              <w:top w:val="nil"/>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O plano de gerenciamento de resíduos é atualizado periodicamente e é de conhecimento das equipes de assistência oncológica, compreendendo o descarte adequado de sobras de medicamentos e os materiais médicos e equipamentos de proteção individuais utilizados na administração de quimioterápicos, por exemplo.</w:t>
            </w:r>
          </w:p>
        </w:tc>
        <w:tc>
          <w:tcPr>
            <w:tcW w:w="4819" w:type="dxa"/>
            <w:tcBorders>
              <w:top w:val="nil"/>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Critérios específicos de segregação de resíduos com atenção especial ao descarte de </w:t>
            </w:r>
            <w:proofErr w:type="gramStart"/>
            <w:r w:rsidRPr="006D3E2D">
              <w:rPr>
                <w:rFonts w:ascii="Arial" w:eastAsia="Times New Roman" w:hAnsi="Arial" w:cs="Arial"/>
                <w:sz w:val="20"/>
                <w:szCs w:val="20"/>
                <w:lang w:eastAsia="pt-BR"/>
              </w:rPr>
              <w:t>perfuro cortantes</w:t>
            </w:r>
            <w:proofErr w:type="gramEnd"/>
            <w:r w:rsidRPr="006D3E2D">
              <w:rPr>
                <w:rFonts w:ascii="Arial" w:eastAsia="Times New Roman" w:hAnsi="Arial" w:cs="Arial"/>
                <w:sz w:val="20"/>
                <w:szCs w:val="20"/>
                <w:lang w:eastAsia="pt-BR"/>
              </w:rPr>
              <w:t xml:space="preserve"> e de medicamentos e materiais médicos com prazo de validade expirado e/ou inadequados ao uso; Verificação de contrato com fornecedor de serviço de recolhimento de resíduo químico e biológico; Verificação da segurança de área de guarda temporária de resíduos;</w:t>
            </w:r>
            <w:r w:rsidRPr="006D3E2D">
              <w:rPr>
                <w:rFonts w:ascii="Arial" w:eastAsia="Times New Roman" w:hAnsi="Arial" w:cs="Arial"/>
                <w:sz w:val="20"/>
                <w:szCs w:val="20"/>
                <w:lang w:eastAsia="pt-BR"/>
              </w:rPr>
              <w:br/>
              <w:t>Verificação do conhecimento das equipes quanto à segregação de resíduos mais críticos.</w:t>
            </w:r>
          </w:p>
        </w:tc>
        <w:tc>
          <w:tcPr>
            <w:tcW w:w="4858" w:type="dxa"/>
            <w:tcBorders>
              <w:top w:val="nil"/>
              <w:left w:val="nil"/>
              <w:bottom w:val="single" w:sz="4" w:space="0" w:color="auto"/>
              <w:right w:val="single" w:sz="4" w:space="0" w:color="000000"/>
            </w:tcBorders>
            <w:shd w:val="clear" w:color="auto" w:fill="auto"/>
            <w:noWrap/>
            <w:vAlign w:val="center"/>
          </w:tcPr>
          <w:p w:rsidR="001C0A44" w:rsidRPr="006D3E2D" w:rsidRDefault="001C0A44" w:rsidP="00574EA9">
            <w:pPr>
              <w:pStyle w:val="PargrafodaLista"/>
              <w:spacing w:after="0" w:line="240" w:lineRule="auto"/>
              <w:ind w:left="72"/>
              <w:jc w:val="both"/>
              <w:rPr>
                <w:rFonts w:ascii="Arial" w:eastAsia="Times New Roman" w:hAnsi="Arial" w:cs="Arial"/>
                <w:color w:val="000000"/>
                <w:sz w:val="20"/>
                <w:szCs w:val="20"/>
                <w:lang w:eastAsia="pt-BR"/>
              </w:rPr>
            </w:pPr>
          </w:p>
        </w:tc>
      </w:tr>
      <w:tr w:rsidR="001C0A44" w:rsidRPr="006D3E2D" w:rsidTr="00574EA9">
        <w:trPr>
          <w:trHeight w:val="227"/>
        </w:trPr>
        <w:tc>
          <w:tcPr>
            <w:tcW w:w="510" w:type="dxa"/>
            <w:tcBorders>
              <w:top w:val="nil"/>
              <w:left w:val="single" w:sz="4" w:space="0" w:color="000000"/>
              <w:bottom w:val="single" w:sz="4" w:space="0" w:color="000000"/>
              <w:right w:val="single" w:sz="4" w:space="0" w:color="auto"/>
            </w:tcBorders>
            <w:shd w:val="clear" w:color="008080" w:fill="008080"/>
            <w:vAlign w:val="center"/>
            <w:hideMark/>
          </w:tcPr>
          <w:p w:rsidR="001C0A44" w:rsidRPr="006D3E2D" w:rsidRDefault="001C0A44"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t>12</w:t>
            </w:r>
          </w:p>
        </w:tc>
        <w:tc>
          <w:tcPr>
            <w:tcW w:w="2326" w:type="dxa"/>
            <w:tcBorders>
              <w:top w:val="single" w:sz="4" w:space="0" w:color="auto"/>
              <w:left w:val="single" w:sz="4" w:space="0" w:color="auto"/>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Dispõe de procedimento seguro para a identificação, rastreabilidade, conservação e descarte apropriado dos insumos.</w:t>
            </w: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Critérios devem ser definidos para a validação,</w:t>
            </w:r>
            <w:proofErr w:type="gramStart"/>
            <w:r w:rsidRPr="006D3E2D">
              <w:rPr>
                <w:rFonts w:ascii="Arial" w:eastAsia="Times New Roman" w:hAnsi="Arial" w:cs="Arial"/>
                <w:sz w:val="20"/>
                <w:szCs w:val="20"/>
                <w:lang w:eastAsia="pt-BR"/>
              </w:rPr>
              <w:t xml:space="preserve">  </w:t>
            </w:r>
            <w:proofErr w:type="gramEnd"/>
            <w:r w:rsidRPr="006D3E2D">
              <w:rPr>
                <w:rFonts w:ascii="Arial" w:eastAsia="Times New Roman" w:hAnsi="Arial" w:cs="Arial"/>
                <w:sz w:val="20"/>
                <w:szCs w:val="20"/>
                <w:lang w:eastAsia="pt-BR"/>
              </w:rPr>
              <w:t>controle (incluindo rastreabilidade e prazo de validade), conservação e descarte dos insumos (considerando também contrato estabelecido com empresa de destinação de resíduos).</w:t>
            </w: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Verificação do processo de recebimento, rastreabilidade e utilização de medicamentos e materiais; Verificação do controle de rastreabilidade e vencimento; Verificação do descarte apropriado e contrato com empresa de destinação de resíduos.</w:t>
            </w:r>
          </w:p>
        </w:tc>
        <w:tc>
          <w:tcPr>
            <w:tcW w:w="4858" w:type="dxa"/>
            <w:tcBorders>
              <w:top w:val="single" w:sz="4" w:space="0" w:color="auto"/>
              <w:left w:val="single" w:sz="4" w:space="0" w:color="auto"/>
              <w:bottom w:val="single" w:sz="4" w:space="0" w:color="auto"/>
              <w:right w:val="single" w:sz="4" w:space="0" w:color="auto"/>
            </w:tcBorders>
            <w:shd w:val="clear" w:color="auto" w:fill="auto"/>
            <w:noWrap/>
            <w:vAlign w:val="center"/>
          </w:tcPr>
          <w:p w:rsidR="00FB3F94" w:rsidRPr="006D3E2D" w:rsidRDefault="00FB3F94" w:rsidP="00574EA9">
            <w:pPr>
              <w:pStyle w:val="PargrafodaLista"/>
              <w:spacing w:after="0" w:line="240" w:lineRule="auto"/>
              <w:ind w:left="72"/>
              <w:jc w:val="both"/>
              <w:rPr>
                <w:rFonts w:ascii="Arial" w:eastAsia="Times New Roman" w:hAnsi="Arial" w:cs="Arial"/>
                <w:b/>
                <w:color w:val="000000"/>
                <w:sz w:val="20"/>
                <w:szCs w:val="20"/>
                <w:lang w:eastAsia="pt-BR"/>
              </w:rPr>
            </w:pPr>
          </w:p>
        </w:tc>
      </w:tr>
      <w:tr w:rsidR="001C0A44" w:rsidRPr="006D3E2D" w:rsidTr="00574EA9">
        <w:trPr>
          <w:trHeight w:val="227"/>
        </w:trPr>
        <w:tc>
          <w:tcPr>
            <w:tcW w:w="510" w:type="dxa"/>
            <w:tcBorders>
              <w:top w:val="nil"/>
              <w:left w:val="single" w:sz="4" w:space="0" w:color="000000"/>
              <w:bottom w:val="single" w:sz="4" w:space="0" w:color="000000"/>
              <w:right w:val="single" w:sz="4" w:space="0" w:color="000000"/>
            </w:tcBorders>
            <w:shd w:val="clear" w:color="008080" w:fill="008080"/>
            <w:vAlign w:val="center"/>
            <w:hideMark/>
          </w:tcPr>
          <w:p w:rsidR="001C0A44" w:rsidRPr="006D3E2D" w:rsidRDefault="001C0A44"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t>13</w:t>
            </w:r>
          </w:p>
        </w:tc>
        <w:tc>
          <w:tcPr>
            <w:tcW w:w="2326" w:type="dxa"/>
            <w:tcBorders>
              <w:top w:val="single" w:sz="4" w:space="0" w:color="auto"/>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Dispõe de procedimento seguro para o armazenamento e transporte de medicamentos </w:t>
            </w:r>
            <w:proofErr w:type="spellStart"/>
            <w:r w:rsidRPr="006D3E2D">
              <w:rPr>
                <w:rFonts w:ascii="Arial" w:eastAsia="Times New Roman" w:hAnsi="Arial" w:cs="Arial"/>
                <w:sz w:val="20"/>
                <w:szCs w:val="20"/>
                <w:lang w:eastAsia="pt-BR"/>
              </w:rPr>
              <w:t>antineoplásicos</w:t>
            </w:r>
            <w:proofErr w:type="spellEnd"/>
            <w:r w:rsidRPr="006D3E2D">
              <w:rPr>
                <w:rFonts w:ascii="Arial" w:eastAsia="Times New Roman" w:hAnsi="Arial" w:cs="Arial"/>
                <w:sz w:val="20"/>
                <w:szCs w:val="20"/>
                <w:lang w:eastAsia="pt-BR"/>
              </w:rPr>
              <w:t>.</w:t>
            </w:r>
          </w:p>
        </w:tc>
        <w:tc>
          <w:tcPr>
            <w:tcW w:w="3969" w:type="dxa"/>
            <w:tcBorders>
              <w:top w:val="single" w:sz="4" w:space="0" w:color="auto"/>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Os medicamentos </w:t>
            </w:r>
            <w:proofErr w:type="spellStart"/>
            <w:r w:rsidRPr="006D3E2D">
              <w:rPr>
                <w:rFonts w:ascii="Arial" w:eastAsia="Times New Roman" w:hAnsi="Arial" w:cs="Arial"/>
                <w:sz w:val="20"/>
                <w:szCs w:val="20"/>
                <w:lang w:eastAsia="pt-BR"/>
              </w:rPr>
              <w:t>antineoplásicos</w:t>
            </w:r>
            <w:proofErr w:type="spellEnd"/>
            <w:r w:rsidRPr="006D3E2D">
              <w:rPr>
                <w:rFonts w:ascii="Arial" w:eastAsia="Times New Roman" w:hAnsi="Arial" w:cs="Arial"/>
                <w:sz w:val="20"/>
                <w:szCs w:val="20"/>
                <w:lang w:eastAsia="pt-BR"/>
              </w:rPr>
              <w:t xml:space="preserve"> devem ser armazenados separados dos outros medicamentos e o transporte interno realizado com segurança para evitar quebra/derramamento. Kits para conter derramamento de quimioterápicos nas áreas deverão estar facilmente disponíveis no trajeto destes medicamentos e</w:t>
            </w:r>
            <w:proofErr w:type="gramStart"/>
            <w:r w:rsidRPr="006D3E2D">
              <w:rPr>
                <w:rFonts w:ascii="Arial" w:eastAsia="Times New Roman" w:hAnsi="Arial" w:cs="Arial"/>
                <w:sz w:val="20"/>
                <w:szCs w:val="20"/>
                <w:lang w:eastAsia="pt-BR"/>
              </w:rPr>
              <w:t xml:space="preserve">  </w:t>
            </w:r>
            <w:proofErr w:type="gramEnd"/>
            <w:r w:rsidRPr="006D3E2D">
              <w:rPr>
                <w:rFonts w:ascii="Arial" w:eastAsia="Times New Roman" w:hAnsi="Arial" w:cs="Arial"/>
                <w:sz w:val="20"/>
                <w:szCs w:val="20"/>
                <w:lang w:eastAsia="pt-BR"/>
              </w:rPr>
              <w:t xml:space="preserve">as equipes treinadas para o armazenamento, </w:t>
            </w:r>
            <w:r w:rsidRPr="006D3E2D">
              <w:rPr>
                <w:rFonts w:ascii="Arial" w:eastAsia="Times New Roman" w:hAnsi="Arial" w:cs="Arial"/>
                <w:sz w:val="20"/>
                <w:szCs w:val="20"/>
                <w:lang w:eastAsia="pt-BR"/>
              </w:rPr>
              <w:lastRenderedPageBreak/>
              <w:t>transporte e casos de acidentes.</w:t>
            </w:r>
          </w:p>
        </w:tc>
        <w:tc>
          <w:tcPr>
            <w:tcW w:w="4819" w:type="dxa"/>
            <w:tcBorders>
              <w:top w:val="single" w:sz="4" w:space="0" w:color="auto"/>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lastRenderedPageBreak/>
              <w:t xml:space="preserve">Procedimento descrito de transporte de medicamentos e contenção de derramamento; Presença de kit de derramamento padronizado nas áreas; </w:t>
            </w:r>
            <w:r w:rsidRPr="006D3E2D">
              <w:rPr>
                <w:rFonts w:ascii="Arial" w:eastAsia="Times New Roman" w:hAnsi="Arial" w:cs="Arial"/>
                <w:sz w:val="20"/>
                <w:szCs w:val="20"/>
                <w:lang w:eastAsia="pt-BR"/>
              </w:rPr>
              <w:br/>
              <w:t>Registro de treinamento para a contenção de derramamento e o conhecimento na prática sobre utilização do kit nas áreas.</w:t>
            </w:r>
          </w:p>
        </w:tc>
        <w:tc>
          <w:tcPr>
            <w:tcW w:w="4858" w:type="dxa"/>
            <w:tcBorders>
              <w:top w:val="single" w:sz="4" w:space="0" w:color="auto"/>
              <w:left w:val="nil"/>
              <w:bottom w:val="single" w:sz="4" w:space="0" w:color="000000"/>
              <w:right w:val="single" w:sz="4" w:space="0" w:color="000000"/>
            </w:tcBorders>
            <w:shd w:val="clear" w:color="auto" w:fill="auto"/>
            <w:noWrap/>
            <w:vAlign w:val="center"/>
          </w:tcPr>
          <w:p w:rsidR="001C0A44" w:rsidRPr="006D3E2D" w:rsidRDefault="001C0A44" w:rsidP="00AA5993">
            <w:pPr>
              <w:spacing w:after="0" w:line="240" w:lineRule="auto"/>
              <w:jc w:val="both"/>
              <w:rPr>
                <w:rFonts w:ascii="Arial" w:eastAsia="Times New Roman" w:hAnsi="Arial" w:cs="Arial"/>
                <w:color w:val="000000"/>
                <w:sz w:val="20"/>
                <w:szCs w:val="20"/>
                <w:lang w:eastAsia="pt-BR"/>
              </w:rPr>
            </w:pPr>
          </w:p>
        </w:tc>
      </w:tr>
      <w:tr w:rsidR="001C0A44" w:rsidRPr="006D3E2D" w:rsidTr="00BA7EAA">
        <w:trPr>
          <w:trHeight w:val="227"/>
        </w:trPr>
        <w:tc>
          <w:tcPr>
            <w:tcW w:w="510" w:type="dxa"/>
            <w:tcBorders>
              <w:top w:val="nil"/>
              <w:left w:val="single" w:sz="4" w:space="0" w:color="000000"/>
              <w:bottom w:val="single" w:sz="4" w:space="0" w:color="auto"/>
              <w:right w:val="single" w:sz="4" w:space="0" w:color="000000"/>
            </w:tcBorders>
            <w:shd w:val="clear" w:color="008080" w:fill="008080"/>
            <w:vAlign w:val="center"/>
            <w:hideMark/>
          </w:tcPr>
          <w:p w:rsidR="001C0A44" w:rsidRPr="006D3E2D" w:rsidRDefault="001C0A44"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lastRenderedPageBreak/>
              <w:t>14</w:t>
            </w:r>
          </w:p>
        </w:tc>
        <w:tc>
          <w:tcPr>
            <w:tcW w:w="2326" w:type="dxa"/>
            <w:tcBorders>
              <w:top w:val="nil"/>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Cumpre os critérios e procedimentos de segurança para a utilização de materiais.</w:t>
            </w:r>
          </w:p>
        </w:tc>
        <w:tc>
          <w:tcPr>
            <w:tcW w:w="3969" w:type="dxa"/>
            <w:tcBorders>
              <w:top w:val="nil"/>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Processos são instituídos para a garantia de acesso facilitado a informações atualizadas sobre materiais de punção e administração segura de medicamentos. Identificação da necessidade de capacitação das equipes e treinamentos específicos são realizados sistematicamente.</w:t>
            </w:r>
          </w:p>
        </w:tc>
        <w:tc>
          <w:tcPr>
            <w:tcW w:w="4819" w:type="dxa"/>
            <w:tcBorders>
              <w:top w:val="nil"/>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Critérios clínicos para uso dos diversos tipos de cateteres; </w:t>
            </w:r>
            <w:r w:rsidRPr="006D3E2D">
              <w:rPr>
                <w:rFonts w:ascii="Arial" w:eastAsia="Times New Roman" w:hAnsi="Arial" w:cs="Arial"/>
                <w:sz w:val="20"/>
                <w:szCs w:val="20"/>
                <w:lang w:eastAsia="pt-BR"/>
              </w:rPr>
              <w:br/>
              <w:t>Verificação do conhecimento dos profissionais sobre dispositivos de infusão e punção, em especial punção e cuidados com cateter venoso central, cateter PICC e dispositivos de infusão portáteis; Verificação dos registros de treinamentos sistemáticos.</w:t>
            </w:r>
          </w:p>
        </w:tc>
        <w:tc>
          <w:tcPr>
            <w:tcW w:w="4858" w:type="dxa"/>
            <w:tcBorders>
              <w:top w:val="nil"/>
              <w:left w:val="nil"/>
              <w:bottom w:val="single" w:sz="4" w:space="0" w:color="auto"/>
              <w:right w:val="single" w:sz="4" w:space="0" w:color="000000"/>
            </w:tcBorders>
            <w:shd w:val="clear" w:color="auto" w:fill="auto"/>
            <w:noWrap/>
            <w:vAlign w:val="center"/>
            <w:hideMark/>
          </w:tcPr>
          <w:p w:rsidR="001C0A44" w:rsidRPr="006D3E2D" w:rsidRDefault="001C0A44" w:rsidP="00574EA9">
            <w:pPr>
              <w:pStyle w:val="PargrafodaLista"/>
              <w:spacing w:after="0" w:line="240" w:lineRule="auto"/>
              <w:ind w:left="72"/>
              <w:jc w:val="both"/>
              <w:rPr>
                <w:rFonts w:ascii="Arial" w:eastAsia="Times New Roman" w:hAnsi="Arial" w:cs="Arial"/>
                <w:b/>
                <w:color w:val="000000"/>
                <w:sz w:val="20"/>
                <w:szCs w:val="20"/>
                <w:lang w:eastAsia="pt-BR"/>
              </w:rPr>
            </w:pPr>
          </w:p>
        </w:tc>
      </w:tr>
      <w:tr w:rsidR="001C0A44" w:rsidRPr="006D3E2D" w:rsidTr="009A50C6">
        <w:trPr>
          <w:trHeight w:val="227"/>
        </w:trPr>
        <w:tc>
          <w:tcPr>
            <w:tcW w:w="510" w:type="dxa"/>
            <w:tcBorders>
              <w:top w:val="single" w:sz="4" w:space="0" w:color="auto"/>
              <w:left w:val="single" w:sz="4" w:space="0" w:color="auto"/>
              <w:bottom w:val="single" w:sz="4" w:space="0" w:color="auto"/>
              <w:right w:val="single" w:sz="4" w:space="0" w:color="auto"/>
            </w:tcBorders>
            <w:shd w:val="clear" w:color="008080" w:fill="008080"/>
            <w:vAlign w:val="center"/>
            <w:hideMark/>
          </w:tcPr>
          <w:p w:rsidR="001C0A44" w:rsidRPr="006D3E2D" w:rsidRDefault="001C0A44"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t>15</w:t>
            </w:r>
          </w:p>
        </w:tc>
        <w:tc>
          <w:tcPr>
            <w:tcW w:w="2326" w:type="dxa"/>
            <w:tcBorders>
              <w:top w:val="single" w:sz="4" w:space="0" w:color="auto"/>
              <w:left w:val="single" w:sz="4" w:space="0" w:color="auto"/>
              <w:bottom w:val="single" w:sz="4" w:space="0" w:color="auto"/>
              <w:right w:val="single" w:sz="4" w:space="0" w:color="auto"/>
            </w:tcBorders>
            <w:shd w:val="clear" w:color="FFFFFF" w:fill="E2EFDA"/>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Estabelece protocolos assistenciais/clínicos alinhados ao perfil epidemiológico. </w:t>
            </w:r>
          </w:p>
        </w:tc>
        <w:tc>
          <w:tcPr>
            <w:tcW w:w="3969" w:type="dxa"/>
            <w:tcBorders>
              <w:top w:val="single" w:sz="4" w:space="0" w:color="auto"/>
              <w:left w:val="single" w:sz="4" w:space="0" w:color="auto"/>
              <w:bottom w:val="single" w:sz="4" w:space="0" w:color="auto"/>
              <w:right w:val="single" w:sz="4" w:space="0" w:color="auto"/>
            </w:tcBorders>
            <w:shd w:val="clear" w:color="FFFFFF" w:fill="E2EFDA"/>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Protocolos assistenciais são definidos, das doenças de maior prevalência/gravidade/risco, alinhados ao perfil epidemiológico e com base em diretrizes e evidências científicas, para planejamento da assistência aos pacientes (adulto e/ou pediátrico; ambulatorial ou hospitalar) em terapia oncológica clínica ou cirúrgica.</w:t>
            </w:r>
          </w:p>
        </w:tc>
        <w:tc>
          <w:tcPr>
            <w:tcW w:w="4819" w:type="dxa"/>
            <w:tcBorders>
              <w:top w:val="single" w:sz="4" w:space="0" w:color="auto"/>
              <w:left w:val="single" w:sz="4" w:space="0" w:color="auto"/>
              <w:bottom w:val="single" w:sz="4" w:space="0" w:color="auto"/>
              <w:right w:val="single" w:sz="4" w:space="0" w:color="auto"/>
            </w:tcBorders>
            <w:shd w:val="clear" w:color="FFFFFF" w:fill="E2EFDA"/>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Formalização de protocolos assistenciais atualizados, tais como: terapia venosa (infusão gravitacional e contínua ou por bomba </w:t>
            </w:r>
            <w:proofErr w:type="spellStart"/>
            <w:r w:rsidRPr="006D3E2D">
              <w:rPr>
                <w:rFonts w:ascii="Arial" w:eastAsia="Times New Roman" w:hAnsi="Arial" w:cs="Arial"/>
                <w:sz w:val="20"/>
                <w:szCs w:val="20"/>
                <w:lang w:eastAsia="pt-BR"/>
              </w:rPr>
              <w:t>eslastomérica</w:t>
            </w:r>
            <w:proofErr w:type="spellEnd"/>
            <w:r w:rsidRPr="006D3E2D">
              <w:rPr>
                <w:rFonts w:ascii="Arial" w:eastAsia="Times New Roman" w:hAnsi="Arial" w:cs="Arial"/>
                <w:sz w:val="20"/>
                <w:szCs w:val="20"/>
                <w:lang w:eastAsia="pt-BR"/>
              </w:rPr>
              <w:t xml:space="preserve">), intramuscular, subcutânea, </w:t>
            </w:r>
            <w:proofErr w:type="spellStart"/>
            <w:r w:rsidRPr="006D3E2D">
              <w:rPr>
                <w:rFonts w:ascii="Arial" w:eastAsia="Times New Roman" w:hAnsi="Arial" w:cs="Arial"/>
                <w:sz w:val="20"/>
                <w:szCs w:val="20"/>
                <w:lang w:eastAsia="pt-BR"/>
              </w:rPr>
              <w:t>intratecal</w:t>
            </w:r>
            <w:proofErr w:type="spellEnd"/>
            <w:r w:rsidRPr="006D3E2D">
              <w:rPr>
                <w:rFonts w:ascii="Arial" w:eastAsia="Times New Roman" w:hAnsi="Arial" w:cs="Arial"/>
                <w:sz w:val="20"/>
                <w:szCs w:val="20"/>
                <w:lang w:eastAsia="pt-BR"/>
              </w:rPr>
              <w:t xml:space="preserve">, </w:t>
            </w:r>
            <w:proofErr w:type="spellStart"/>
            <w:r w:rsidRPr="006D3E2D">
              <w:rPr>
                <w:rFonts w:ascii="Arial" w:eastAsia="Times New Roman" w:hAnsi="Arial" w:cs="Arial"/>
                <w:sz w:val="20"/>
                <w:szCs w:val="20"/>
                <w:lang w:eastAsia="pt-BR"/>
              </w:rPr>
              <w:t>intravesical</w:t>
            </w:r>
            <w:proofErr w:type="spellEnd"/>
            <w:r w:rsidRPr="006D3E2D">
              <w:rPr>
                <w:rFonts w:ascii="Arial" w:eastAsia="Times New Roman" w:hAnsi="Arial" w:cs="Arial"/>
                <w:sz w:val="20"/>
                <w:szCs w:val="20"/>
                <w:lang w:eastAsia="pt-BR"/>
              </w:rPr>
              <w:t xml:space="preserve">, tópica, oral ou mista; concomitante com radioterapia; </w:t>
            </w:r>
            <w:proofErr w:type="spellStart"/>
            <w:r w:rsidRPr="006D3E2D">
              <w:rPr>
                <w:rFonts w:ascii="Arial" w:eastAsia="Times New Roman" w:hAnsi="Arial" w:cs="Arial"/>
                <w:sz w:val="20"/>
                <w:szCs w:val="20"/>
                <w:lang w:eastAsia="pt-BR"/>
              </w:rPr>
              <w:t>imunoterapia</w:t>
            </w:r>
            <w:proofErr w:type="spellEnd"/>
            <w:r w:rsidRPr="006D3E2D">
              <w:rPr>
                <w:rFonts w:ascii="Arial" w:eastAsia="Times New Roman" w:hAnsi="Arial" w:cs="Arial"/>
                <w:sz w:val="20"/>
                <w:szCs w:val="20"/>
                <w:lang w:eastAsia="pt-BR"/>
              </w:rPr>
              <w:t xml:space="preserve">, hematologia, transplante de medula óssea, cuidados paliativos e/ou </w:t>
            </w:r>
            <w:proofErr w:type="spellStart"/>
            <w:r w:rsidRPr="006D3E2D">
              <w:rPr>
                <w:rFonts w:ascii="Arial" w:eastAsia="Times New Roman" w:hAnsi="Arial" w:cs="Arial"/>
                <w:sz w:val="20"/>
                <w:szCs w:val="20"/>
                <w:lang w:eastAsia="pt-BR"/>
              </w:rPr>
              <w:t>terminalidade</w:t>
            </w:r>
            <w:proofErr w:type="spellEnd"/>
            <w:r w:rsidRPr="006D3E2D">
              <w:rPr>
                <w:rFonts w:ascii="Arial" w:eastAsia="Times New Roman" w:hAnsi="Arial" w:cs="Arial"/>
                <w:sz w:val="20"/>
                <w:szCs w:val="20"/>
                <w:lang w:eastAsia="pt-BR"/>
              </w:rPr>
              <w:t xml:space="preserve">, </w:t>
            </w:r>
            <w:proofErr w:type="spellStart"/>
            <w:r w:rsidRPr="006D3E2D">
              <w:rPr>
                <w:rFonts w:ascii="Arial" w:eastAsia="Times New Roman" w:hAnsi="Arial" w:cs="Arial"/>
                <w:sz w:val="20"/>
                <w:szCs w:val="20"/>
                <w:lang w:eastAsia="pt-BR"/>
              </w:rPr>
              <w:t>neutropenia</w:t>
            </w:r>
            <w:proofErr w:type="spellEnd"/>
            <w:r w:rsidRPr="006D3E2D">
              <w:rPr>
                <w:rFonts w:ascii="Arial" w:eastAsia="Times New Roman" w:hAnsi="Arial" w:cs="Arial"/>
                <w:sz w:val="20"/>
                <w:szCs w:val="20"/>
                <w:lang w:eastAsia="pt-BR"/>
              </w:rPr>
              <w:t xml:space="preserve"> febril, manejo da dor, </w:t>
            </w:r>
            <w:proofErr w:type="spellStart"/>
            <w:r w:rsidRPr="006D3E2D">
              <w:rPr>
                <w:rFonts w:ascii="Arial" w:eastAsia="Times New Roman" w:hAnsi="Arial" w:cs="Arial"/>
                <w:sz w:val="20"/>
                <w:szCs w:val="20"/>
                <w:lang w:eastAsia="pt-BR"/>
              </w:rPr>
              <w:t>antibioticoterapia</w:t>
            </w:r>
            <w:proofErr w:type="spellEnd"/>
            <w:r w:rsidRPr="006D3E2D">
              <w:rPr>
                <w:rFonts w:ascii="Arial" w:eastAsia="Times New Roman" w:hAnsi="Arial" w:cs="Arial"/>
                <w:sz w:val="20"/>
                <w:szCs w:val="20"/>
                <w:lang w:eastAsia="pt-BR"/>
              </w:rPr>
              <w:t xml:space="preserve">, manejo de efeitos colaterais; </w:t>
            </w:r>
            <w:r w:rsidRPr="006D3E2D">
              <w:rPr>
                <w:rFonts w:ascii="Arial" w:eastAsia="Times New Roman" w:hAnsi="Arial" w:cs="Arial"/>
                <w:sz w:val="20"/>
                <w:szCs w:val="20"/>
                <w:lang w:eastAsia="pt-BR"/>
              </w:rPr>
              <w:br/>
              <w:t xml:space="preserve">Entrevista com a equipe assistencial para avaliação sobre o entendimento dos protocolos estabelecidos; Plano de capacitação para desdobramento das diretrizes; </w:t>
            </w:r>
            <w:r w:rsidRPr="006D3E2D">
              <w:rPr>
                <w:rFonts w:ascii="Arial" w:eastAsia="Times New Roman" w:hAnsi="Arial" w:cs="Arial"/>
                <w:color w:val="000000" w:themeColor="text1"/>
                <w:sz w:val="20"/>
                <w:szCs w:val="20"/>
                <w:lang w:eastAsia="pt-BR"/>
              </w:rPr>
              <w:t>Aplicação dos protocolos em prontuários</w:t>
            </w:r>
            <w:r w:rsidRPr="006D3E2D">
              <w:rPr>
                <w:rFonts w:ascii="Arial" w:eastAsia="Times New Roman" w:hAnsi="Arial" w:cs="Arial"/>
                <w:sz w:val="20"/>
                <w:szCs w:val="20"/>
                <w:lang w:eastAsia="pt-BR"/>
              </w:rPr>
              <w:t xml:space="preserve">; Metodologia estabelecida para monitoramento da adesão da equipe assistencial quanto aos protocolos estabelecidos. </w:t>
            </w:r>
          </w:p>
        </w:tc>
        <w:tc>
          <w:tcPr>
            <w:tcW w:w="4858" w:type="dxa"/>
            <w:tcBorders>
              <w:top w:val="single" w:sz="4" w:space="0" w:color="auto"/>
              <w:left w:val="single" w:sz="4" w:space="0" w:color="auto"/>
              <w:bottom w:val="single" w:sz="4" w:space="0" w:color="auto"/>
              <w:right w:val="single" w:sz="4" w:space="0" w:color="auto"/>
            </w:tcBorders>
            <w:shd w:val="clear" w:color="auto" w:fill="auto"/>
            <w:noWrap/>
          </w:tcPr>
          <w:p w:rsidR="001C0A44" w:rsidRPr="006D3E2D" w:rsidRDefault="001C0A44" w:rsidP="00574EA9">
            <w:pPr>
              <w:pStyle w:val="PargrafodaLista"/>
              <w:spacing w:after="0" w:line="240" w:lineRule="auto"/>
              <w:ind w:left="72"/>
              <w:jc w:val="both"/>
              <w:rPr>
                <w:rFonts w:ascii="Arial" w:eastAsia="Times New Roman" w:hAnsi="Arial" w:cs="Arial"/>
                <w:color w:val="000000"/>
                <w:sz w:val="20"/>
                <w:szCs w:val="20"/>
                <w:lang w:eastAsia="pt-BR"/>
              </w:rPr>
            </w:pPr>
          </w:p>
        </w:tc>
      </w:tr>
      <w:tr w:rsidR="001C0A44" w:rsidRPr="006D3E2D" w:rsidTr="00574EA9">
        <w:trPr>
          <w:trHeight w:val="227"/>
        </w:trPr>
        <w:tc>
          <w:tcPr>
            <w:tcW w:w="510" w:type="dxa"/>
            <w:tcBorders>
              <w:top w:val="single" w:sz="4" w:space="0" w:color="auto"/>
              <w:left w:val="single" w:sz="4" w:space="0" w:color="000000"/>
              <w:bottom w:val="single" w:sz="4" w:space="0" w:color="000000"/>
              <w:right w:val="single" w:sz="4" w:space="0" w:color="000000"/>
            </w:tcBorders>
            <w:shd w:val="clear" w:color="008080" w:fill="008080"/>
            <w:vAlign w:val="center"/>
            <w:hideMark/>
          </w:tcPr>
          <w:p w:rsidR="001C0A44" w:rsidRPr="006D3E2D" w:rsidRDefault="001C0A44"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t>16</w:t>
            </w:r>
          </w:p>
        </w:tc>
        <w:tc>
          <w:tcPr>
            <w:tcW w:w="2326" w:type="dxa"/>
            <w:tcBorders>
              <w:top w:val="single" w:sz="4" w:space="0" w:color="auto"/>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proofErr w:type="gramStart"/>
            <w:r w:rsidRPr="006D3E2D">
              <w:rPr>
                <w:rFonts w:ascii="Arial" w:eastAsia="Times New Roman" w:hAnsi="Arial" w:cs="Arial"/>
                <w:sz w:val="20"/>
                <w:szCs w:val="20"/>
                <w:lang w:eastAsia="pt-BR"/>
              </w:rPr>
              <w:t>Considera</w:t>
            </w:r>
            <w:proofErr w:type="gramEnd"/>
            <w:r w:rsidRPr="006D3E2D">
              <w:rPr>
                <w:rFonts w:ascii="Arial" w:eastAsia="Times New Roman" w:hAnsi="Arial" w:cs="Arial"/>
                <w:sz w:val="20"/>
                <w:szCs w:val="20"/>
                <w:lang w:eastAsia="pt-BR"/>
              </w:rPr>
              <w:t xml:space="preserve"> as características individuais dos pacientes/clientes e acompanhantes, respeitando suas tradições culturais, crenças, diversidades, valores pessoais e privacidade para o planejamento do cuidado.  </w:t>
            </w:r>
          </w:p>
        </w:tc>
        <w:tc>
          <w:tcPr>
            <w:tcW w:w="3969" w:type="dxa"/>
            <w:tcBorders>
              <w:top w:val="single" w:sz="4" w:space="0" w:color="auto"/>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Tradições, crenças, valores e culturas diferentes podem impactar no entendimento e/ou adesão dos pacientes/acompanhantes às orientações propostas.</w:t>
            </w:r>
          </w:p>
        </w:tc>
        <w:tc>
          <w:tcPr>
            <w:tcW w:w="4819" w:type="dxa"/>
            <w:tcBorders>
              <w:top w:val="single" w:sz="4" w:space="0" w:color="auto"/>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Conhecimento e aplicabilidade dos mecanismos definidos pela instituição para atendimento considerando as características individuais dos pacientes e como reconhecem estas necessidades; Avaliação de como orientam uso de medicamentos e cuidados para pacientes analfabetos e estrangeiros, como identificam pacientes com nomes sociais e como desmistificam uso de medicamentos como </w:t>
            </w:r>
            <w:proofErr w:type="spellStart"/>
            <w:r w:rsidRPr="006D3E2D">
              <w:rPr>
                <w:rFonts w:ascii="Arial" w:eastAsia="Times New Roman" w:hAnsi="Arial" w:cs="Arial"/>
                <w:sz w:val="20"/>
                <w:szCs w:val="20"/>
                <w:lang w:eastAsia="pt-BR"/>
              </w:rPr>
              <w:t>opióides</w:t>
            </w:r>
            <w:proofErr w:type="spellEnd"/>
            <w:r w:rsidRPr="006D3E2D">
              <w:rPr>
                <w:rFonts w:ascii="Arial" w:eastAsia="Times New Roman" w:hAnsi="Arial" w:cs="Arial"/>
                <w:sz w:val="20"/>
                <w:szCs w:val="20"/>
                <w:lang w:eastAsia="pt-BR"/>
              </w:rPr>
              <w:t xml:space="preserve">, por exemplo; Registros em prontuário se questões como sexualidade e fertilidade são discutidas antes dos tratamentos </w:t>
            </w:r>
            <w:proofErr w:type="spellStart"/>
            <w:r w:rsidRPr="006D3E2D">
              <w:rPr>
                <w:rFonts w:ascii="Arial" w:eastAsia="Times New Roman" w:hAnsi="Arial" w:cs="Arial"/>
                <w:sz w:val="20"/>
                <w:szCs w:val="20"/>
                <w:lang w:eastAsia="pt-BR"/>
              </w:rPr>
              <w:t>radioterapicos</w:t>
            </w:r>
            <w:proofErr w:type="spellEnd"/>
            <w:r w:rsidRPr="006D3E2D">
              <w:rPr>
                <w:rFonts w:ascii="Arial" w:eastAsia="Times New Roman" w:hAnsi="Arial" w:cs="Arial"/>
                <w:sz w:val="20"/>
                <w:szCs w:val="20"/>
                <w:lang w:eastAsia="pt-BR"/>
              </w:rPr>
              <w:t xml:space="preserve"> e respeitados pela equipe profissional.</w:t>
            </w:r>
          </w:p>
        </w:tc>
        <w:tc>
          <w:tcPr>
            <w:tcW w:w="4858" w:type="dxa"/>
            <w:tcBorders>
              <w:top w:val="single" w:sz="4" w:space="0" w:color="auto"/>
              <w:left w:val="nil"/>
              <w:bottom w:val="single" w:sz="4" w:space="0" w:color="000000"/>
              <w:right w:val="single" w:sz="4" w:space="0" w:color="000000"/>
            </w:tcBorders>
            <w:shd w:val="clear" w:color="auto" w:fill="auto"/>
            <w:noWrap/>
          </w:tcPr>
          <w:p w:rsidR="001C0A44" w:rsidRPr="006D3E2D" w:rsidRDefault="001C0A44" w:rsidP="00F97BA3">
            <w:pPr>
              <w:spacing w:after="0" w:line="240" w:lineRule="auto"/>
              <w:rPr>
                <w:rFonts w:ascii="Arial" w:eastAsia="Times New Roman" w:hAnsi="Arial" w:cs="Arial"/>
                <w:sz w:val="20"/>
                <w:szCs w:val="20"/>
                <w:lang w:eastAsia="pt-BR"/>
              </w:rPr>
            </w:pPr>
          </w:p>
        </w:tc>
      </w:tr>
      <w:tr w:rsidR="001C0A44" w:rsidRPr="006D3E2D" w:rsidTr="00436D83">
        <w:trPr>
          <w:trHeight w:val="227"/>
        </w:trPr>
        <w:tc>
          <w:tcPr>
            <w:tcW w:w="510" w:type="dxa"/>
            <w:tcBorders>
              <w:top w:val="nil"/>
              <w:left w:val="single" w:sz="4" w:space="0" w:color="000000"/>
              <w:bottom w:val="single" w:sz="4" w:space="0" w:color="000000"/>
              <w:right w:val="single" w:sz="4" w:space="0" w:color="000000"/>
            </w:tcBorders>
            <w:shd w:val="clear" w:color="008080" w:fill="008080"/>
            <w:vAlign w:val="center"/>
            <w:hideMark/>
          </w:tcPr>
          <w:p w:rsidR="001C0A44" w:rsidRPr="006D3E2D" w:rsidRDefault="001C0A44"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t>17</w:t>
            </w:r>
          </w:p>
        </w:tc>
        <w:tc>
          <w:tcPr>
            <w:tcW w:w="2326" w:type="dxa"/>
            <w:tcBorders>
              <w:top w:val="nil"/>
              <w:left w:val="nil"/>
              <w:bottom w:val="single" w:sz="4" w:space="0" w:color="auto"/>
              <w:right w:val="single" w:sz="4" w:space="0" w:color="auto"/>
            </w:tcBorders>
            <w:shd w:val="clear" w:color="000000" w:fill="E2EFDA"/>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Estabelece protocolos para os procedimentos relacionados aos cuidados dos pacientes/clientes oncológicos</w:t>
            </w:r>
          </w:p>
        </w:tc>
        <w:tc>
          <w:tcPr>
            <w:tcW w:w="3969" w:type="dxa"/>
            <w:tcBorders>
              <w:top w:val="nil"/>
              <w:left w:val="nil"/>
              <w:bottom w:val="single" w:sz="4" w:space="0" w:color="auto"/>
              <w:right w:val="single" w:sz="4" w:space="0" w:color="auto"/>
            </w:tcBorders>
            <w:shd w:val="clear" w:color="000000" w:fill="E2EFDA"/>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Protocolos são definidos para padronização dos procedimentos realizados nos pacientes oncológicos ou hematológicos (adulto e/ou pediátrico; ambulatorial ou hospitalar).</w:t>
            </w:r>
          </w:p>
        </w:tc>
        <w:tc>
          <w:tcPr>
            <w:tcW w:w="4819" w:type="dxa"/>
            <w:tcBorders>
              <w:top w:val="nil"/>
              <w:left w:val="nil"/>
              <w:bottom w:val="single" w:sz="4" w:space="0" w:color="auto"/>
              <w:right w:val="single" w:sz="4" w:space="0" w:color="auto"/>
            </w:tcBorders>
            <w:shd w:val="clear" w:color="000000" w:fill="E2EFDA"/>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Protocolos atualizados e formalizados, tais como: </w:t>
            </w:r>
            <w:proofErr w:type="spellStart"/>
            <w:r w:rsidRPr="006D3E2D">
              <w:rPr>
                <w:rFonts w:ascii="Arial" w:eastAsia="Times New Roman" w:hAnsi="Arial" w:cs="Arial"/>
                <w:sz w:val="20"/>
                <w:szCs w:val="20"/>
                <w:lang w:eastAsia="pt-BR"/>
              </w:rPr>
              <w:t>biópisa</w:t>
            </w:r>
            <w:proofErr w:type="spellEnd"/>
            <w:r w:rsidRPr="006D3E2D">
              <w:rPr>
                <w:rFonts w:ascii="Arial" w:eastAsia="Times New Roman" w:hAnsi="Arial" w:cs="Arial"/>
                <w:sz w:val="20"/>
                <w:szCs w:val="20"/>
                <w:lang w:eastAsia="pt-BR"/>
              </w:rPr>
              <w:t xml:space="preserve"> de medula óssea, </w:t>
            </w:r>
            <w:proofErr w:type="spellStart"/>
            <w:r w:rsidRPr="006D3E2D">
              <w:rPr>
                <w:rFonts w:ascii="Arial" w:eastAsia="Times New Roman" w:hAnsi="Arial" w:cs="Arial"/>
                <w:sz w:val="20"/>
                <w:szCs w:val="20"/>
                <w:lang w:eastAsia="pt-BR"/>
              </w:rPr>
              <w:t>mielograma</w:t>
            </w:r>
            <w:proofErr w:type="spellEnd"/>
            <w:r w:rsidRPr="006D3E2D">
              <w:rPr>
                <w:rFonts w:ascii="Arial" w:eastAsia="Times New Roman" w:hAnsi="Arial" w:cs="Arial"/>
                <w:sz w:val="20"/>
                <w:szCs w:val="20"/>
                <w:lang w:eastAsia="pt-BR"/>
              </w:rPr>
              <w:t xml:space="preserve">, aférese, punção de </w:t>
            </w:r>
            <w:proofErr w:type="spellStart"/>
            <w:r w:rsidRPr="006D3E2D">
              <w:rPr>
                <w:rFonts w:ascii="Arial" w:eastAsia="Times New Roman" w:hAnsi="Arial" w:cs="Arial"/>
                <w:sz w:val="20"/>
                <w:szCs w:val="20"/>
                <w:lang w:eastAsia="pt-BR"/>
              </w:rPr>
              <w:t>catéter</w:t>
            </w:r>
            <w:proofErr w:type="spellEnd"/>
            <w:r w:rsidRPr="006D3E2D">
              <w:rPr>
                <w:rFonts w:ascii="Arial" w:eastAsia="Times New Roman" w:hAnsi="Arial" w:cs="Arial"/>
                <w:sz w:val="20"/>
                <w:szCs w:val="20"/>
                <w:lang w:eastAsia="pt-BR"/>
              </w:rPr>
              <w:t xml:space="preserve"> de longa permanência, salinização / </w:t>
            </w:r>
            <w:proofErr w:type="spellStart"/>
            <w:r w:rsidRPr="006D3E2D">
              <w:rPr>
                <w:rFonts w:ascii="Arial" w:eastAsia="Times New Roman" w:hAnsi="Arial" w:cs="Arial"/>
                <w:sz w:val="20"/>
                <w:szCs w:val="20"/>
                <w:lang w:eastAsia="pt-BR"/>
              </w:rPr>
              <w:t>heparinização</w:t>
            </w:r>
            <w:proofErr w:type="spellEnd"/>
            <w:r w:rsidRPr="006D3E2D">
              <w:rPr>
                <w:rFonts w:ascii="Arial" w:eastAsia="Times New Roman" w:hAnsi="Arial" w:cs="Arial"/>
                <w:sz w:val="20"/>
                <w:szCs w:val="20"/>
                <w:lang w:eastAsia="pt-BR"/>
              </w:rPr>
              <w:t xml:space="preserve">, </w:t>
            </w:r>
            <w:proofErr w:type="spellStart"/>
            <w:r w:rsidRPr="006D3E2D">
              <w:rPr>
                <w:rFonts w:ascii="Arial" w:eastAsia="Times New Roman" w:hAnsi="Arial" w:cs="Arial"/>
                <w:sz w:val="20"/>
                <w:szCs w:val="20"/>
                <w:lang w:eastAsia="pt-BR"/>
              </w:rPr>
              <w:t>crioterapia</w:t>
            </w:r>
            <w:proofErr w:type="spellEnd"/>
            <w:r w:rsidRPr="006D3E2D">
              <w:rPr>
                <w:rFonts w:ascii="Arial" w:eastAsia="Times New Roman" w:hAnsi="Arial" w:cs="Arial"/>
                <w:sz w:val="20"/>
                <w:szCs w:val="20"/>
                <w:lang w:eastAsia="pt-BR"/>
              </w:rPr>
              <w:t xml:space="preserve"> e </w:t>
            </w:r>
            <w:proofErr w:type="spellStart"/>
            <w:r w:rsidRPr="006D3E2D">
              <w:rPr>
                <w:rFonts w:ascii="Arial" w:eastAsia="Times New Roman" w:hAnsi="Arial" w:cs="Arial"/>
                <w:sz w:val="20"/>
                <w:szCs w:val="20"/>
                <w:lang w:eastAsia="pt-BR"/>
              </w:rPr>
              <w:t>transfusão;bEntrevista</w:t>
            </w:r>
            <w:proofErr w:type="spellEnd"/>
            <w:r w:rsidRPr="006D3E2D">
              <w:rPr>
                <w:rFonts w:ascii="Arial" w:eastAsia="Times New Roman" w:hAnsi="Arial" w:cs="Arial"/>
                <w:sz w:val="20"/>
                <w:szCs w:val="20"/>
                <w:lang w:eastAsia="pt-BR"/>
              </w:rPr>
              <w:t xml:space="preserve"> com a equipe assistencial para avaliação sobre o entendimento dos protocolos estabelecidos; Plano de capacitação para desdobramento das diretrizes; Aplicação dos protocolos nos prontuários; Avaliação  do método de monitoramento da adesão da equipe assistencial </w:t>
            </w:r>
            <w:r w:rsidRPr="006D3E2D">
              <w:rPr>
                <w:rFonts w:ascii="Arial" w:eastAsia="Times New Roman" w:hAnsi="Arial" w:cs="Arial"/>
                <w:sz w:val="20"/>
                <w:szCs w:val="20"/>
                <w:lang w:eastAsia="pt-BR"/>
              </w:rPr>
              <w:lastRenderedPageBreak/>
              <w:t xml:space="preserve">quanto aos protocolos estabelecidos. </w:t>
            </w:r>
          </w:p>
        </w:tc>
        <w:tc>
          <w:tcPr>
            <w:tcW w:w="4858" w:type="dxa"/>
            <w:tcBorders>
              <w:top w:val="nil"/>
              <w:left w:val="nil"/>
              <w:bottom w:val="single" w:sz="4" w:space="0" w:color="000000"/>
              <w:right w:val="single" w:sz="4" w:space="0" w:color="000000"/>
            </w:tcBorders>
            <w:shd w:val="clear" w:color="auto" w:fill="auto"/>
            <w:noWrap/>
            <w:hideMark/>
          </w:tcPr>
          <w:p w:rsidR="001C0A44" w:rsidRPr="006D3E2D" w:rsidRDefault="001C0A44" w:rsidP="00E434A7">
            <w:pPr>
              <w:pStyle w:val="PargrafodaLista"/>
              <w:spacing w:after="0" w:line="240" w:lineRule="auto"/>
              <w:jc w:val="both"/>
              <w:rPr>
                <w:rFonts w:ascii="Arial" w:eastAsia="Times New Roman" w:hAnsi="Arial" w:cs="Arial"/>
                <w:sz w:val="20"/>
                <w:szCs w:val="20"/>
                <w:lang w:eastAsia="pt-BR"/>
              </w:rPr>
            </w:pPr>
          </w:p>
        </w:tc>
      </w:tr>
      <w:tr w:rsidR="001C0A44" w:rsidRPr="006D3E2D" w:rsidTr="00BA7EAA">
        <w:trPr>
          <w:trHeight w:val="227"/>
        </w:trPr>
        <w:tc>
          <w:tcPr>
            <w:tcW w:w="510" w:type="dxa"/>
            <w:tcBorders>
              <w:top w:val="nil"/>
              <w:left w:val="single" w:sz="4" w:space="0" w:color="000000"/>
              <w:bottom w:val="single" w:sz="4" w:space="0" w:color="000000"/>
              <w:right w:val="single" w:sz="4" w:space="0" w:color="000000"/>
            </w:tcBorders>
            <w:shd w:val="clear" w:color="008080" w:fill="008080"/>
            <w:vAlign w:val="center"/>
            <w:hideMark/>
          </w:tcPr>
          <w:p w:rsidR="001C0A44" w:rsidRPr="006D3E2D" w:rsidRDefault="001C0A44"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lastRenderedPageBreak/>
              <w:t>18</w:t>
            </w:r>
          </w:p>
        </w:tc>
        <w:tc>
          <w:tcPr>
            <w:tcW w:w="2326" w:type="dxa"/>
            <w:tcBorders>
              <w:top w:val="nil"/>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Define disponibilidade de agenda conforme critérios estabelecidos e monitora tempo máximo até realização da consulta / procedimento.</w:t>
            </w:r>
          </w:p>
        </w:tc>
        <w:tc>
          <w:tcPr>
            <w:tcW w:w="3969" w:type="dxa"/>
            <w:tcBorders>
              <w:top w:val="nil"/>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Para o agendamento seguro deve-se conhecer o perfil assistencial da unidade, prevendo na agenda a realização de consultas com equipe </w:t>
            </w:r>
            <w:proofErr w:type="spellStart"/>
            <w:r w:rsidRPr="006D3E2D">
              <w:rPr>
                <w:rFonts w:ascii="Arial" w:eastAsia="Times New Roman" w:hAnsi="Arial" w:cs="Arial"/>
                <w:sz w:val="20"/>
                <w:szCs w:val="20"/>
                <w:lang w:eastAsia="pt-BR"/>
              </w:rPr>
              <w:t>multisdisciplinar</w:t>
            </w:r>
            <w:proofErr w:type="spellEnd"/>
            <w:r w:rsidRPr="006D3E2D">
              <w:rPr>
                <w:rFonts w:ascii="Arial" w:eastAsia="Times New Roman" w:hAnsi="Arial" w:cs="Arial"/>
                <w:sz w:val="20"/>
                <w:szCs w:val="20"/>
                <w:lang w:eastAsia="pt-BR"/>
              </w:rPr>
              <w:t xml:space="preserve"> e a realização dos procedimentos de acordo com os protocolos de tratamento, considerando o tempo entre os ciclos de terapia medicamentosa.</w:t>
            </w:r>
          </w:p>
        </w:tc>
        <w:tc>
          <w:tcPr>
            <w:tcW w:w="4819" w:type="dxa"/>
            <w:tcBorders>
              <w:top w:val="nil"/>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Critérios de agendamento e cumprimento dos prazos dos ciclos de terapia medicamentosa; Avaliação nos prontuários se os prazos para agendamento dos ciclos são respeitados; Verificação do monitoramento do não comparecimento em consultas e tratamento; Verificação do gerenciamento de casos de suspensão temporária de tratamento.</w:t>
            </w:r>
          </w:p>
        </w:tc>
        <w:tc>
          <w:tcPr>
            <w:tcW w:w="4858" w:type="dxa"/>
            <w:tcBorders>
              <w:top w:val="nil"/>
              <w:left w:val="nil"/>
              <w:bottom w:val="single" w:sz="4" w:space="0" w:color="000000"/>
              <w:right w:val="single" w:sz="4" w:space="0" w:color="000000"/>
            </w:tcBorders>
            <w:shd w:val="clear" w:color="auto" w:fill="auto"/>
            <w:noWrap/>
            <w:vAlign w:val="center"/>
            <w:hideMark/>
          </w:tcPr>
          <w:p w:rsidR="001C0A44" w:rsidRPr="006D3E2D" w:rsidRDefault="001C0A44" w:rsidP="00574EA9">
            <w:pPr>
              <w:pStyle w:val="PargrafodaLista"/>
              <w:spacing w:after="0" w:line="240" w:lineRule="auto"/>
              <w:ind w:left="72"/>
              <w:jc w:val="both"/>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 </w:t>
            </w:r>
          </w:p>
        </w:tc>
      </w:tr>
      <w:tr w:rsidR="001C0A44" w:rsidRPr="006D3E2D" w:rsidTr="00BA7EAA">
        <w:trPr>
          <w:trHeight w:val="227"/>
        </w:trPr>
        <w:tc>
          <w:tcPr>
            <w:tcW w:w="510" w:type="dxa"/>
            <w:tcBorders>
              <w:top w:val="nil"/>
              <w:left w:val="single" w:sz="4" w:space="0" w:color="000000"/>
              <w:bottom w:val="single" w:sz="4" w:space="0" w:color="000000"/>
              <w:right w:val="single" w:sz="4" w:space="0" w:color="000000"/>
            </w:tcBorders>
            <w:shd w:val="clear" w:color="008080" w:fill="008080"/>
            <w:vAlign w:val="center"/>
            <w:hideMark/>
          </w:tcPr>
          <w:p w:rsidR="001C0A44" w:rsidRPr="006D3E2D" w:rsidRDefault="001C0A44"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t>19</w:t>
            </w:r>
          </w:p>
        </w:tc>
        <w:tc>
          <w:tcPr>
            <w:tcW w:w="2326" w:type="dxa"/>
            <w:tcBorders>
              <w:top w:val="nil"/>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Monitora a demanda por procedimentos de terapia </w:t>
            </w:r>
            <w:proofErr w:type="spellStart"/>
            <w:r w:rsidRPr="006D3E2D">
              <w:rPr>
                <w:rFonts w:ascii="Arial" w:eastAsia="Times New Roman" w:hAnsi="Arial" w:cs="Arial"/>
                <w:sz w:val="20"/>
                <w:szCs w:val="20"/>
                <w:lang w:eastAsia="pt-BR"/>
              </w:rPr>
              <w:t>antineoplásica</w:t>
            </w:r>
            <w:proofErr w:type="spellEnd"/>
            <w:r w:rsidRPr="006D3E2D">
              <w:rPr>
                <w:rFonts w:ascii="Arial" w:eastAsia="Times New Roman" w:hAnsi="Arial" w:cs="Arial"/>
                <w:sz w:val="20"/>
                <w:szCs w:val="20"/>
                <w:lang w:eastAsia="pt-BR"/>
              </w:rPr>
              <w:t>.</w:t>
            </w:r>
          </w:p>
        </w:tc>
        <w:tc>
          <w:tcPr>
            <w:tcW w:w="3969" w:type="dxa"/>
            <w:tcBorders>
              <w:top w:val="nil"/>
              <w:left w:val="nil"/>
              <w:bottom w:val="single" w:sz="4" w:space="0" w:color="auto"/>
              <w:right w:val="single" w:sz="4" w:space="0" w:color="auto"/>
            </w:tcBorders>
            <w:shd w:val="clear" w:color="FFFFFF" w:fill="FFFFFF"/>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O serviço possui o perfil dos pacientes atendidos, conhece a sua capacidade de infraestrutura e operacional e identifica a ocupação máxima</w:t>
            </w:r>
            <w:proofErr w:type="gramStart"/>
            <w:r w:rsidRPr="006D3E2D">
              <w:rPr>
                <w:rFonts w:ascii="Arial" w:eastAsia="Times New Roman" w:hAnsi="Arial" w:cs="Arial"/>
                <w:sz w:val="20"/>
                <w:szCs w:val="20"/>
                <w:lang w:eastAsia="pt-BR"/>
              </w:rPr>
              <w:t xml:space="preserve">  </w:t>
            </w:r>
            <w:proofErr w:type="gramEnd"/>
            <w:r w:rsidRPr="006D3E2D">
              <w:rPr>
                <w:rFonts w:ascii="Arial" w:eastAsia="Times New Roman" w:hAnsi="Arial" w:cs="Arial"/>
                <w:sz w:val="20"/>
                <w:szCs w:val="20"/>
                <w:lang w:eastAsia="pt-BR"/>
              </w:rPr>
              <w:t>para um atendimento com qualidade e segurança.</w:t>
            </w:r>
          </w:p>
        </w:tc>
        <w:tc>
          <w:tcPr>
            <w:tcW w:w="4819" w:type="dxa"/>
            <w:tcBorders>
              <w:top w:val="nil"/>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Indicadores como taxa de ocupação do serviço, número de preparações (manipulações de medicamentos) diárias/semanais/mensais e número de administrações estendidas realizadas por período (dia/semana/mês); </w:t>
            </w:r>
            <w:r w:rsidRPr="006D3E2D">
              <w:rPr>
                <w:rFonts w:ascii="Arial" w:eastAsia="Times New Roman" w:hAnsi="Arial" w:cs="Arial"/>
                <w:sz w:val="20"/>
                <w:szCs w:val="20"/>
                <w:lang w:eastAsia="pt-BR"/>
              </w:rPr>
              <w:br/>
              <w:t>Identificação da gestão de picos de atendimento e ações tomadas para manutenção de dimensionamento seguro; Monitoramento do tempo de espera e ações tomadas.</w:t>
            </w:r>
          </w:p>
        </w:tc>
        <w:tc>
          <w:tcPr>
            <w:tcW w:w="4858" w:type="dxa"/>
            <w:tcBorders>
              <w:top w:val="nil"/>
              <w:left w:val="nil"/>
              <w:bottom w:val="single" w:sz="4" w:space="0" w:color="000000"/>
              <w:right w:val="single" w:sz="4" w:space="0" w:color="000000"/>
            </w:tcBorders>
            <w:shd w:val="clear" w:color="auto" w:fill="auto"/>
            <w:noWrap/>
            <w:vAlign w:val="center"/>
            <w:hideMark/>
          </w:tcPr>
          <w:p w:rsidR="001C0A44" w:rsidRPr="006D3E2D" w:rsidRDefault="001C0A44" w:rsidP="00574EA9">
            <w:pPr>
              <w:pStyle w:val="PargrafodaLista"/>
              <w:spacing w:after="0" w:line="240" w:lineRule="auto"/>
              <w:ind w:left="0"/>
              <w:jc w:val="both"/>
              <w:rPr>
                <w:rFonts w:ascii="Arial" w:eastAsia="Times New Roman" w:hAnsi="Arial" w:cs="Arial"/>
                <w:sz w:val="20"/>
                <w:szCs w:val="20"/>
                <w:lang w:eastAsia="pt-BR"/>
              </w:rPr>
            </w:pPr>
          </w:p>
        </w:tc>
      </w:tr>
      <w:tr w:rsidR="001C0A44" w:rsidRPr="006D3E2D" w:rsidTr="00BA7EAA">
        <w:trPr>
          <w:trHeight w:val="227"/>
        </w:trPr>
        <w:tc>
          <w:tcPr>
            <w:tcW w:w="510" w:type="dxa"/>
            <w:tcBorders>
              <w:top w:val="nil"/>
              <w:left w:val="single" w:sz="4" w:space="0" w:color="000000"/>
              <w:bottom w:val="single" w:sz="4" w:space="0" w:color="000000"/>
              <w:right w:val="single" w:sz="4" w:space="0" w:color="000000"/>
            </w:tcBorders>
            <w:shd w:val="clear" w:color="008080" w:fill="008080"/>
            <w:vAlign w:val="center"/>
            <w:hideMark/>
          </w:tcPr>
          <w:p w:rsidR="001C0A44" w:rsidRPr="006D3E2D" w:rsidRDefault="001C0A44"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t>20</w:t>
            </w:r>
          </w:p>
        </w:tc>
        <w:tc>
          <w:tcPr>
            <w:tcW w:w="2326" w:type="dxa"/>
            <w:tcBorders>
              <w:top w:val="nil"/>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Dispõe de protocolos e procedimentos para uso e descarte seguro dos medicamentos quimioterápicos, respeitando as diretrizes consagradas na literatura e </w:t>
            </w:r>
            <w:proofErr w:type="spellStart"/>
            <w:r w:rsidRPr="006D3E2D">
              <w:rPr>
                <w:rFonts w:ascii="Arial" w:eastAsia="Times New Roman" w:hAnsi="Arial" w:cs="Arial"/>
                <w:sz w:val="20"/>
                <w:szCs w:val="20"/>
                <w:lang w:eastAsia="pt-BR"/>
              </w:rPr>
              <w:t>guidelines</w:t>
            </w:r>
            <w:proofErr w:type="spellEnd"/>
            <w:r w:rsidRPr="006D3E2D">
              <w:rPr>
                <w:rFonts w:ascii="Arial" w:eastAsia="Times New Roman" w:hAnsi="Arial" w:cs="Arial"/>
                <w:sz w:val="20"/>
                <w:szCs w:val="20"/>
                <w:lang w:eastAsia="pt-BR"/>
              </w:rPr>
              <w:t>.</w:t>
            </w:r>
          </w:p>
        </w:tc>
        <w:tc>
          <w:tcPr>
            <w:tcW w:w="3969" w:type="dxa"/>
            <w:tcBorders>
              <w:top w:val="nil"/>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A instituição define um manual de como os quimioterápicos devem ser armazenados, diluídos e preparados para serem administrados de forma segura incluindo a compatibilidade de diluentes, via e tempo de administração, por exemplo. Cuidados como </w:t>
            </w:r>
            <w:proofErr w:type="spellStart"/>
            <w:r w:rsidRPr="006D3E2D">
              <w:rPr>
                <w:rFonts w:ascii="Arial" w:eastAsia="Times New Roman" w:hAnsi="Arial" w:cs="Arial"/>
                <w:sz w:val="20"/>
                <w:szCs w:val="20"/>
                <w:lang w:eastAsia="pt-BR"/>
              </w:rPr>
              <w:t>fotossensibilidade</w:t>
            </w:r>
            <w:proofErr w:type="spellEnd"/>
            <w:r w:rsidRPr="006D3E2D">
              <w:rPr>
                <w:rFonts w:ascii="Arial" w:eastAsia="Times New Roman" w:hAnsi="Arial" w:cs="Arial"/>
                <w:sz w:val="20"/>
                <w:szCs w:val="20"/>
                <w:lang w:eastAsia="pt-BR"/>
              </w:rPr>
              <w:t>, potencial irritante e vesicante e estabilidade após a diluição também devem ser contemplados.</w:t>
            </w:r>
          </w:p>
        </w:tc>
        <w:tc>
          <w:tcPr>
            <w:tcW w:w="4819" w:type="dxa"/>
            <w:tcBorders>
              <w:top w:val="nil"/>
              <w:left w:val="nil"/>
              <w:bottom w:val="single" w:sz="4" w:space="0" w:color="auto"/>
              <w:right w:val="single" w:sz="4" w:space="0" w:color="auto"/>
            </w:tcBorders>
            <w:shd w:val="clear" w:color="auto" w:fill="auto"/>
            <w:hideMark/>
          </w:tcPr>
          <w:p w:rsidR="001C0A44" w:rsidRPr="006D3E2D" w:rsidRDefault="001C0A44"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Disponibilidade de material de apoio para dúvidas sobre preparo e diluição seguros e a pertinência da bibliografia de base utilizada; </w:t>
            </w:r>
            <w:r w:rsidRPr="006D3E2D">
              <w:rPr>
                <w:rFonts w:ascii="Arial" w:eastAsia="Times New Roman" w:hAnsi="Arial" w:cs="Arial"/>
                <w:sz w:val="20"/>
                <w:szCs w:val="20"/>
                <w:lang w:eastAsia="pt-BR"/>
              </w:rPr>
              <w:br/>
              <w:t>Avaliação do conhecimento dos colaboradores sobre os cuidados nestas etapas; Avaliação do material disponível está atualizado de acordo com a padronização vigente; Observação das informações disponibilizadas no rótulo das soluções preparadas; Verificação do descarte de bolsas vazias ou parcialmente utilizadas.</w:t>
            </w:r>
          </w:p>
        </w:tc>
        <w:tc>
          <w:tcPr>
            <w:tcW w:w="4858" w:type="dxa"/>
            <w:tcBorders>
              <w:top w:val="nil"/>
              <w:left w:val="nil"/>
              <w:bottom w:val="single" w:sz="4" w:space="0" w:color="000000"/>
              <w:right w:val="single" w:sz="4" w:space="0" w:color="000000"/>
            </w:tcBorders>
            <w:shd w:val="clear" w:color="auto" w:fill="auto"/>
            <w:noWrap/>
            <w:vAlign w:val="center"/>
          </w:tcPr>
          <w:p w:rsidR="00FC45CC" w:rsidRPr="006D3E2D" w:rsidRDefault="00FC45CC" w:rsidP="00574EA9">
            <w:pPr>
              <w:pStyle w:val="PargrafodaLista"/>
              <w:spacing w:after="0" w:line="240" w:lineRule="auto"/>
              <w:ind w:left="72"/>
              <w:rPr>
                <w:rFonts w:ascii="Arial" w:eastAsia="Times New Roman" w:hAnsi="Arial" w:cs="Arial"/>
                <w:sz w:val="20"/>
                <w:szCs w:val="20"/>
                <w:lang w:eastAsia="pt-BR"/>
              </w:rPr>
            </w:pPr>
          </w:p>
        </w:tc>
      </w:tr>
      <w:tr w:rsidR="007A3C4B" w:rsidRPr="006D3E2D" w:rsidTr="00BA7EAA">
        <w:trPr>
          <w:trHeight w:val="227"/>
        </w:trPr>
        <w:tc>
          <w:tcPr>
            <w:tcW w:w="510" w:type="dxa"/>
            <w:tcBorders>
              <w:top w:val="nil"/>
              <w:left w:val="single" w:sz="4" w:space="0" w:color="000000"/>
              <w:bottom w:val="single" w:sz="4" w:space="0" w:color="000000"/>
              <w:right w:val="single" w:sz="4" w:space="0" w:color="000000"/>
            </w:tcBorders>
            <w:shd w:val="clear" w:color="008080" w:fill="008080"/>
            <w:vAlign w:val="center"/>
            <w:hideMark/>
          </w:tcPr>
          <w:p w:rsidR="007A3C4B" w:rsidRPr="006D3E2D" w:rsidRDefault="007A3C4B"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t>21</w:t>
            </w:r>
          </w:p>
        </w:tc>
        <w:tc>
          <w:tcPr>
            <w:tcW w:w="2326" w:type="dxa"/>
            <w:tcBorders>
              <w:top w:val="nil"/>
              <w:left w:val="nil"/>
              <w:bottom w:val="single" w:sz="4" w:space="0" w:color="auto"/>
              <w:right w:val="single" w:sz="4" w:space="0" w:color="auto"/>
            </w:tcBorders>
            <w:shd w:val="clear" w:color="FFFFFF" w:fill="FFFFFF"/>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Estabelece e monitora o plano terapêutico multidisciplinar.</w:t>
            </w:r>
          </w:p>
        </w:tc>
        <w:tc>
          <w:tcPr>
            <w:tcW w:w="3969" w:type="dxa"/>
            <w:tcBorders>
              <w:top w:val="nil"/>
              <w:left w:val="nil"/>
              <w:bottom w:val="single" w:sz="4" w:space="0" w:color="auto"/>
              <w:right w:val="single" w:sz="4" w:space="0" w:color="auto"/>
            </w:tcBorders>
            <w:shd w:val="clear" w:color="FFFFFF" w:fill="FFFFFF"/>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Plano terapêutico multidisciplinar individualizado é uma metodologia estabelecida para a definição de propostas de condutas terapêuticas compostas por metas e resultados esperados a serem atingidos em determinado período de tempo pela equipe assistencial.</w:t>
            </w:r>
          </w:p>
        </w:tc>
        <w:tc>
          <w:tcPr>
            <w:tcW w:w="4819" w:type="dxa"/>
            <w:tcBorders>
              <w:top w:val="nil"/>
              <w:left w:val="nil"/>
              <w:bottom w:val="single" w:sz="4" w:space="0" w:color="auto"/>
              <w:right w:val="single" w:sz="4" w:space="0" w:color="auto"/>
            </w:tcBorders>
            <w:shd w:val="clear" w:color="FFFFFF" w:fill="FFFFFF"/>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Avaliação das diretrizes estabelecidas para definição de plano terapêutico e monitoramento da adesão pela equipe multidisciplinar; Entrevistas à equipe multidisciplinar para avaliação do entendimento sobre as diretrizes estabelecidas; Avaliação da aplicação da metodologia através dos registros em prontuários.</w:t>
            </w:r>
          </w:p>
        </w:tc>
        <w:tc>
          <w:tcPr>
            <w:tcW w:w="4858" w:type="dxa"/>
            <w:tcBorders>
              <w:top w:val="nil"/>
              <w:left w:val="nil"/>
              <w:bottom w:val="single" w:sz="4" w:space="0" w:color="000000"/>
              <w:right w:val="single" w:sz="4" w:space="0" w:color="000000"/>
            </w:tcBorders>
            <w:shd w:val="clear" w:color="auto" w:fill="auto"/>
            <w:noWrap/>
            <w:vAlign w:val="center"/>
          </w:tcPr>
          <w:p w:rsidR="007A3C4B" w:rsidRPr="006D3E2D" w:rsidRDefault="007A3C4B" w:rsidP="00574EA9">
            <w:pPr>
              <w:pStyle w:val="PargrafodaLista"/>
              <w:tabs>
                <w:tab w:val="left" w:pos="355"/>
              </w:tabs>
              <w:spacing w:after="0" w:line="240" w:lineRule="auto"/>
              <w:ind w:left="72"/>
              <w:jc w:val="both"/>
              <w:rPr>
                <w:rFonts w:ascii="Arial" w:eastAsia="Times New Roman" w:hAnsi="Arial" w:cs="Arial"/>
                <w:color w:val="000000"/>
                <w:sz w:val="20"/>
                <w:szCs w:val="20"/>
                <w:lang w:eastAsia="pt-BR"/>
              </w:rPr>
            </w:pPr>
          </w:p>
        </w:tc>
      </w:tr>
      <w:tr w:rsidR="007A3C4B" w:rsidRPr="006D3E2D" w:rsidTr="008079F4">
        <w:trPr>
          <w:trHeight w:val="227"/>
        </w:trPr>
        <w:tc>
          <w:tcPr>
            <w:tcW w:w="510" w:type="dxa"/>
            <w:tcBorders>
              <w:top w:val="nil"/>
              <w:left w:val="single" w:sz="4" w:space="0" w:color="000000"/>
              <w:bottom w:val="single" w:sz="4" w:space="0" w:color="000000"/>
              <w:right w:val="single" w:sz="4" w:space="0" w:color="000000"/>
            </w:tcBorders>
            <w:shd w:val="clear" w:color="008080" w:fill="008080"/>
            <w:vAlign w:val="center"/>
            <w:hideMark/>
          </w:tcPr>
          <w:p w:rsidR="007A3C4B" w:rsidRPr="006D3E2D" w:rsidRDefault="007A3C4B"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t>22</w:t>
            </w:r>
          </w:p>
        </w:tc>
        <w:tc>
          <w:tcPr>
            <w:tcW w:w="2326" w:type="dxa"/>
            <w:tcBorders>
              <w:top w:val="nil"/>
              <w:left w:val="nil"/>
              <w:bottom w:val="single" w:sz="4" w:space="0" w:color="auto"/>
              <w:right w:val="single" w:sz="4" w:space="0" w:color="auto"/>
            </w:tcBorders>
            <w:shd w:val="clear" w:color="auto" w:fill="auto"/>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Compartilha com os pacientes e/ou familiares/acompanhantes as decisões relacionadas ao tratamento, de forma clara, considerando e respeitando as características do ouvinte, relação médico-paciente, ética profissional e sigilo das informações, registrando em </w:t>
            </w:r>
            <w:r w:rsidRPr="006D3E2D">
              <w:rPr>
                <w:rFonts w:ascii="Arial" w:eastAsia="Times New Roman" w:hAnsi="Arial" w:cs="Arial"/>
                <w:sz w:val="20"/>
                <w:szCs w:val="20"/>
                <w:lang w:eastAsia="pt-BR"/>
              </w:rPr>
              <w:lastRenderedPageBreak/>
              <w:t>prontuário.</w:t>
            </w:r>
          </w:p>
        </w:tc>
        <w:tc>
          <w:tcPr>
            <w:tcW w:w="3969" w:type="dxa"/>
            <w:tcBorders>
              <w:top w:val="nil"/>
              <w:left w:val="nil"/>
              <w:bottom w:val="single" w:sz="4" w:space="0" w:color="auto"/>
              <w:right w:val="single" w:sz="4" w:space="0" w:color="auto"/>
            </w:tcBorders>
            <w:shd w:val="clear" w:color="auto" w:fill="auto"/>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lastRenderedPageBreak/>
              <w:t>Os pacientes e familiares/acompanhantes compreendem que tem direito a informações e de participar das decisões relacionadas ao tratamento (e de recusar algum tratamento ou manobras de ressuscitação). A instituição esclarece quem fornecerá as informações e como as decisões relacionadas ao tratamento devem ser registradas em prontuário.</w:t>
            </w:r>
          </w:p>
        </w:tc>
        <w:tc>
          <w:tcPr>
            <w:tcW w:w="4819" w:type="dxa"/>
            <w:tcBorders>
              <w:top w:val="nil"/>
              <w:left w:val="nil"/>
              <w:bottom w:val="single" w:sz="4" w:space="0" w:color="auto"/>
              <w:right w:val="single" w:sz="4" w:space="0" w:color="auto"/>
            </w:tcBorders>
            <w:shd w:val="clear" w:color="auto" w:fill="auto"/>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Registro em prontuário de informações e decisões compartilhadas com paciente/familiares/acompanhantes; Entrevistas à equipe multiprofissional e pacientes/acompanhantes para avaliar a compreensão sobre o tratamento e o envolvimento nas decisões; Avaliação se há materiais informativos (folders, orientação registrada e folhetos explicativos, por exemplo) disponibilizados aos pacientes/familiares/acompanhantes como estratégia de comunicação.</w:t>
            </w:r>
          </w:p>
        </w:tc>
        <w:tc>
          <w:tcPr>
            <w:tcW w:w="4858" w:type="dxa"/>
            <w:tcBorders>
              <w:top w:val="nil"/>
              <w:left w:val="nil"/>
              <w:bottom w:val="single" w:sz="4" w:space="0" w:color="000000"/>
              <w:right w:val="single" w:sz="4" w:space="0" w:color="000000"/>
            </w:tcBorders>
            <w:shd w:val="clear" w:color="auto" w:fill="auto"/>
            <w:noWrap/>
          </w:tcPr>
          <w:p w:rsidR="007A3C4B" w:rsidRPr="006D3E2D" w:rsidRDefault="007A3C4B" w:rsidP="008079F4">
            <w:pPr>
              <w:pStyle w:val="PargrafodaLista"/>
              <w:tabs>
                <w:tab w:val="left" w:pos="355"/>
              </w:tabs>
              <w:spacing w:after="0" w:line="240" w:lineRule="auto"/>
              <w:ind w:left="72"/>
              <w:rPr>
                <w:rFonts w:ascii="Arial" w:eastAsia="Times New Roman" w:hAnsi="Arial" w:cs="Arial"/>
                <w:color w:val="000000"/>
                <w:sz w:val="20"/>
                <w:szCs w:val="20"/>
                <w:lang w:eastAsia="pt-BR"/>
              </w:rPr>
            </w:pPr>
          </w:p>
        </w:tc>
      </w:tr>
      <w:tr w:rsidR="007A3C4B" w:rsidRPr="006D3E2D" w:rsidTr="008E00E3">
        <w:trPr>
          <w:trHeight w:val="227"/>
        </w:trPr>
        <w:tc>
          <w:tcPr>
            <w:tcW w:w="510" w:type="dxa"/>
            <w:tcBorders>
              <w:top w:val="nil"/>
              <w:left w:val="single" w:sz="4" w:space="0" w:color="000000"/>
              <w:bottom w:val="single" w:sz="4" w:space="0" w:color="000000"/>
              <w:right w:val="single" w:sz="4" w:space="0" w:color="000000"/>
            </w:tcBorders>
            <w:shd w:val="clear" w:color="008080" w:fill="008080"/>
            <w:vAlign w:val="center"/>
            <w:hideMark/>
          </w:tcPr>
          <w:p w:rsidR="007A3C4B" w:rsidRPr="006D3E2D" w:rsidRDefault="007A3C4B"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lastRenderedPageBreak/>
              <w:t>23</w:t>
            </w:r>
          </w:p>
        </w:tc>
        <w:tc>
          <w:tcPr>
            <w:tcW w:w="2326" w:type="dxa"/>
            <w:tcBorders>
              <w:top w:val="nil"/>
              <w:left w:val="nil"/>
              <w:bottom w:val="single" w:sz="4" w:space="0" w:color="auto"/>
              <w:right w:val="single" w:sz="4" w:space="0" w:color="auto"/>
            </w:tcBorders>
            <w:shd w:val="clear" w:color="auto" w:fill="auto"/>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Aplica o termo de consentimento livre e esclarecido antes da realização de procedimentos diagnósticos e terapêuticos e uso de protocolos quimioterápicos.</w:t>
            </w:r>
          </w:p>
        </w:tc>
        <w:tc>
          <w:tcPr>
            <w:tcW w:w="3969" w:type="dxa"/>
            <w:tcBorders>
              <w:top w:val="nil"/>
              <w:left w:val="nil"/>
              <w:bottom w:val="single" w:sz="4" w:space="0" w:color="auto"/>
              <w:right w:val="single" w:sz="4" w:space="0" w:color="auto"/>
            </w:tcBorders>
            <w:shd w:val="clear" w:color="auto" w:fill="auto"/>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O termo de consentimento deve deixar claro os riscos e benefícios específicos de cada protocolo e procedimento para que o paciente/responsável avalie e opte pela proposta de forma livre de influência.</w:t>
            </w:r>
          </w:p>
        </w:tc>
        <w:tc>
          <w:tcPr>
            <w:tcW w:w="4819" w:type="dxa"/>
            <w:tcBorders>
              <w:top w:val="nil"/>
              <w:left w:val="nil"/>
              <w:bottom w:val="single" w:sz="4" w:space="0" w:color="auto"/>
              <w:right w:val="single" w:sz="4" w:space="0" w:color="auto"/>
            </w:tcBorders>
            <w:shd w:val="clear" w:color="auto" w:fill="auto"/>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Avaliação das diretrizes institucionais sobre aplicação de termos de consentimento e checar em prontuário termos para protocolos quimioterápicos, procedimentos invasivos e anestesia; Verificação presença de assinaturas nos termos; Entrevistas aos pacientes/responsáveis para entender o fluxo na prática.</w:t>
            </w:r>
          </w:p>
        </w:tc>
        <w:tc>
          <w:tcPr>
            <w:tcW w:w="4858" w:type="dxa"/>
            <w:tcBorders>
              <w:top w:val="nil"/>
              <w:left w:val="nil"/>
              <w:bottom w:val="single" w:sz="4" w:space="0" w:color="auto"/>
              <w:right w:val="single" w:sz="4" w:space="0" w:color="000000"/>
            </w:tcBorders>
            <w:shd w:val="clear" w:color="auto" w:fill="auto"/>
            <w:noWrap/>
            <w:vAlign w:val="center"/>
            <w:hideMark/>
          </w:tcPr>
          <w:p w:rsidR="007A3C4B" w:rsidRPr="006D3E2D" w:rsidRDefault="007A3C4B" w:rsidP="00574EA9">
            <w:pPr>
              <w:pStyle w:val="PargrafodaLista"/>
              <w:spacing w:after="0" w:line="240" w:lineRule="auto"/>
              <w:ind w:left="72"/>
              <w:jc w:val="both"/>
              <w:rPr>
                <w:rFonts w:ascii="Arial" w:eastAsia="Times New Roman" w:hAnsi="Arial" w:cs="Arial"/>
                <w:color w:val="000000"/>
                <w:sz w:val="20"/>
                <w:szCs w:val="20"/>
                <w:lang w:eastAsia="pt-BR"/>
              </w:rPr>
            </w:pPr>
          </w:p>
        </w:tc>
      </w:tr>
      <w:tr w:rsidR="007A3C4B" w:rsidRPr="006D3E2D" w:rsidTr="00BA7EAA">
        <w:trPr>
          <w:trHeight w:val="227"/>
        </w:trPr>
        <w:tc>
          <w:tcPr>
            <w:tcW w:w="510" w:type="dxa"/>
            <w:tcBorders>
              <w:top w:val="nil"/>
              <w:left w:val="single" w:sz="4" w:space="0" w:color="000000"/>
              <w:bottom w:val="single" w:sz="4" w:space="0" w:color="000000"/>
              <w:right w:val="single" w:sz="4" w:space="0" w:color="auto"/>
            </w:tcBorders>
            <w:shd w:val="clear" w:color="008080" w:fill="008080"/>
            <w:vAlign w:val="center"/>
            <w:hideMark/>
          </w:tcPr>
          <w:p w:rsidR="007A3C4B" w:rsidRPr="006D3E2D" w:rsidRDefault="007A3C4B"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t>24</w:t>
            </w:r>
          </w:p>
        </w:tc>
        <w:tc>
          <w:tcPr>
            <w:tcW w:w="2326" w:type="dxa"/>
            <w:tcBorders>
              <w:top w:val="single" w:sz="4" w:space="0" w:color="auto"/>
              <w:left w:val="single" w:sz="4" w:space="0" w:color="auto"/>
              <w:bottom w:val="single" w:sz="4" w:space="0" w:color="auto"/>
              <w:right w:val="single" w:sz="4" w:space="0" w:color="auto"/>
            </w:tcBorders>
            <w:shd w:val="clear" w:color="auto" w:fill="auto"/>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Estabelece os protocolos para manejo de extravasamento de medicamentos </w:t>
            </w:r>
            <w:proofErr w:type="spellStart"/>
            <w:r w:rsidRPr="006D3E2D">
              <w:rPr>
                <w:rFonts w:ascii="Arial" w:eastAsia="Times New Roman" w:hAnsi="Arial" w:cs="Arial"/>
                <w:sz w:val="20"/>
                <w:szCs w:val="20"/>
                <w:lang w:eastAsia="pt-BR"/>
              </w:rPr>
              <w:t>antineoplásicos</w:t>
            </w:r>
            <w:proofErr w:type="spellEnd"/>
            <w:r w:rsidRPr="006D3E2D">
              <w:rPr>
                <w:rFonts w:ascii="Arial" w:eastAsia="Times New Roman" w:hAnsi="Arial" w:cs="Arial"/>
                <w:sz w:val="20"/>
                <w:szCs w:val="20"/>
                <w:lang w:eastAsia="pt-BR"/>
              </w:rPr>
              <w:t>.</w:t>
            </w: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Extravasamento é o escape do agente </w:t>
            </w:r>
            <w:proofErr w:type="spellStart"/>
            <w:r w:rsidRPr="006D3E2D">
              <w:rPr>
                <w:rFonts w:ascii="Arial" w:eastAsia="Times New Roman" w:hAnsi="Arial" w:cs="Arial"/>
                <w:sz w:val="20"/>
                <w:szCs w:val="20"/>
                <w:lang w:eastAsia="pt-BR"/>
              </w:rPr>
              <w:t>antineoplásico</w:t>
            </w:r>
            <w:proofErr w:type="spellEnd"/>
            <w:r w:rsidRPr="006D3E2D">
              <w:rPr>
                <w:rFonts w:ascii="Arial" w:eastAsia="Times New Roman" w:hAnsi="Arial" w:cs="Arial"/>
                <w:sz w:val="20"/>
                <w:szCs w:val="20"/>
                <w:lang w:eastAsia="pt-BR"/>
              </w:rPr>
              <w:t xml:space="preserve"> do interior do vaso sanguíneo para o tecido circunvizinho e pode causar dor, </w:t>
            </w:r>
            <w:proofErr w:type="spellStart"/>
            <w:r w:rsidRPr="006D3E2D">
              <w:rPr>
                <w:rFonts w:ascii="Arial" w:eastAsia="Times New Roman" w:hAnsi="Arial" w:cs="Arial"/>
                <w:sz w:val="20"/>
                <w:szCs w:val="20"/>
                <w:lang w:eastAsia="pt-BR"/>
              </w:rPr>
              <w:t>eritma</w:t>
            </w:r>
            <w:proofErr w:type="spellEnd"/>
            <w:r w:rsidRPr="006D3E2D">
              <w:rPr>
                <w:rFonts w:ascii="Arial" w:eastAsia="Times New Roman" w:hAnsi="Arial" w:cs="Arial"/>
                <w:sz w:val="20"/>
                <w:szCs w:val="20"/>
                <w:lang w:eastAsia="pt-BR"/>
              </w:rPr>
              <w:t>, edema, ulceração e necrose tecidual.</w:t>
            </w: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7A3C4B" w:rsidRPr="006D3E2D" w:rsidRDefault="007A3C4B" w:rsidP="00F01DE9">
            <w:pPr>
              <w:spacing w:after="0" w:line="240" w:lineRule="auto"/>
              <w:rPr>
                <w:rFonts w:ascii="Arial" w:eastAsia="Times New Roman" w:hAnsi="Arial" w:cs="Arial"/>
                <w:color w:val="FF0000"/>
                <w:sz w:val="20"/>
                <w:szCs w:val="20"/>
                <w:lang w:eastAsia="pt-BR"/>
              </w:rPr>
            </w:pPr>
            <w:r w:rsidRPr="006D3E2D">
              <w:rPr>
                <w:rFonts w:ascii="Arial" w:eastAsia="Times New Roman" w:hAnsi="Arial" w:cs="Arial"/>
                <w:color w:val="000000" w:themeColor="text1"/>
                <w:sz w:val="20"/>
                <w:szCs w:val="20"/>
                <w:lang w:eastAsia="pt-BR"/>
              </w:rPr>
              <w:t>Protocolos de manejo de extravasamento, monitoramento do indicador</w:t>
            </w:r>
            <w:proofErr w:type="gramStart"/>
            <w:r w:rsidRPr="006D3E2D">
              <w:rPr>
                <w:rFonts w:ascii="Arial" w:eastAsia="Times New Roman" w:hAnsi="Arial" w:cs="Arial"/>
                <w:color w:val="000000" w:themeColor="text1"/>
                <w:sz w:val="20"/>
                <w:szCs w:val="20"/>
                <w:lang w:eastAsia="pt-BR"/>
              </w:rPr>
              <w:t xml:space="preserve">  </w:t>
            </w:r>
            <w:proofErr w:type="gramEnd"/>
            <w:r w:rsidRPr="006D3E2D">
              <w:rPr>
                <w:rFonts w:ascii="Arial" w:eastAsia="Times New Roman" w:hAnsi="Arial" w:cs="Arial"/>
                <w:color w:val="000000" w:themeColor="text1"/>
                <w:sz w:val="20"/>
                <w:szCs w:val="20"/>
                <w:lang w:eastAsia="pt-BR"/>
              </w:rPr>
              <w:t>e ações implementadas; Verificação da disponibilidade imediata de kit para o manejo dos casos de extravasamento; Verificação se os extravasamentos são notificados como eventos adversos e quem participa das análises.</w:t>
            </w:r>
          </w:p>
        </w:tc>
        <w:tc>
          <w:tcPr>
            <w:tcW w:w="485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A3C4B" w:rsidRPr="006D3E2D" w:rsidRDefault="007A3C4B" w:rsidP="00574EA9">
            <w:pPr>
              <w:pStyle w:val="PargrafodaLista"/>
              <w:spacing w:after="0" w:line="240" w:lineRule="auto"/>
              <w:ind w:left="72"/>
              <w:jc w:val="both"/>
              <w:rPr>
                <w:rFonts w:ascii="Arial" w:eastAsia="Times New Roman" w:hAnsi="Arial" w:cs="Arial"/>
                <w:color w:val="000000"/>
                <w:sz w:val="20"/>
                <w:szCs w:val="20"/>
                <w:lang w:eastAsia="pt-BR"/>
              </w:rPr>
            </w:pPr>
          </w:p>
        </w:tc>
      </w:tr>
      <w:tr w:rsidR="007A3C4B" w:rsidRPr="006D3E2D" w:rsidTr="00C261EF">
        <w:trPr>
          <w:trHeight w:val="227"/>
        </w:trPr>
        <w:tc>
          <w:tcPr>
            <w:tcW w:w="510" w:type="dxa"/>
            <w:tcBorders>
              <w:top w:val="nil"/>
              <w:left w:val="single" w:sz="4" w:space="0" w:color="000000"/>
              <w:bottom w:val="single" w:sz="4" w:space="0" w:color="000000"/>
              <w:right w:val="single" w:sz="4" w:space="0" w:color="000000"/>
            </w:tcBorders>
            <w:shd w:val="clear" w:color="008080" w:fill="008080"/>
            <w:vAlign w:val="center"/>
            <w:hideMark/>
          </w:tcPr>
          <w:p w:rsidR="007A3C4B" w:rsidRPr="006D3E2D" w:rsidRDefault="007A3C4B"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t>25</w:t>
            </w:r>
          </w:p>
        </w:tc>
        <w:tc>
          <w:tcPr>
            <w:tcW w:w="2326" w:type="dxa"/>
            <w:tcBorders>
              <w:top w:val="single" w:sz="4" w:space="0" w:color="auto"/>
              <w:left w:val="nil"/>
              <w:bottom w:val="single" w:sz="4" w:space="0" w:color="auto"/>
              <w:right w:val="single" w:sz="4" w:space="0" w:color="auto"/>
            </w:tcBorders>
            <w:shd w:val="clear" w:color="auto" w:fill="auto"/>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Dispõe de prontuário com registros multidisciplinares atualizados sobre a evolução do paciente/cliente, que promova a continuidade da assistência.</w:t>
            </w:r>
          </w:p>
        </w:tc>
        <w:tc>
          <w:tcPr>
            <w:tcW w:w="3969" w:type="dxa"/>
            <w:tcBorders>
              <w:top w:val="single" w:sz="4" w:space="0" w:color="auto"/>
              <w:left w:val="nil"/>
              <w:bottom w:val="single" w:sz="4" w:space="0" w:color="auto"/>
              <w:right w:val="single" w:sz="4" w:space="0" w:color="auto"/>
            </w:tcBorders>
            <w:shd w:val="clear" w:color="auto" w:fill="auto"/>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Prontuário multidisciplinar possibilita a formalização da assistência prestada ao paciente, bem como a comunicação entre os profissionais para o planejamento da continuidade do cuidado.</w:t>
            </w:r>
          </w:p>
        </w:tc>
        <w:tc>
          <w:tcPr>
            <w:tcW w:w="4819" w:type="dxa"/>
            <w:tcBorders>
              <w:top w:val="single" w:sz="4" w:space="0" w:color="auto"/>
              <w:left w:val="nil"/>
              <w:bottom w:val="single" w:sz="4" w:space="0" w:color="auto"/>
              <w:right w:val="single" w:sz="4" w:space="0" w:color="auto"/>
            </w:tcBorders>
            <w:shd w:val="clear" w:color="auto" w:fill="auto"/>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Método estabelecido para atualização de registros do paciente de maneira clara; Entrevistas à equipe assistencial para entendimento sobre as diretrizes estabelecidas pela organização e/ou Comissão de Prontuários sobre a padronização dos registros em prontuários; Avaliação dos registros multidisciplinares nos prontuários.</w:t>
            </w:r>
          </w:p>
        </w:tc>
        <w:tc>
          <w:tcPr>
            <w:tcW w:w="4858" w:type="dxa"/>
            <w:tcBorders>
              <w:top w:val="single" w:sz="4" w:space="0" w:color="auto"/>
              <w:left w:val="nil"/>
              <w:bottom w:val="single" w:sz="4" w:space="0" w:color="auto"/>
              <w:right w:val="single" w:sz="4" w:space="0" w:color="000000"/>
            </w:tcBorders>
            <w:shd w:val="clear" w:color="auto" w:fill="auto"/>
            <w:noWrap/>
          </w:tcPr>
          <w:p w:rsidR="007A3C4B" w:rsidRPr="006D3E2D" w:rsidRDefault="007A3C4B" w:rsidP="00574EA9">
            <w:pPr>
              <w:pStyle w:val="PargrafodaLista"/>
              <w:spacing w:after="0" w:line="240" w:lineRule="auto"/>
              <w:ind w:left="72"/>
              <w:jc w:val="both"/>
              <w:rPr>
                <w:rFonts w:ascii="Arial" w:eastAsia="Times New Roman" w:hAnsi="Arial" w:cs="Arial"/>
                <w:color w:val="000000"/>
                <w:sz w:val="20"/>
                <w:szCs w:val="20"/>
                <w:lang w:eastAsia="pt-BR"/>
              </w:rPr>
            </w:pPr>
            <w:r w:rsidRPr="006D3E2D">
              <w:rPr>
                <w:rFonts w:ascii="Arial" w:eastAsia="Times New Roman" w:hAnsi="Arial" w:cs="Arial"/>
                <w:color w:val="000000"/>
                <w:sz w:val="20"/>
                <w:szCs w:val="20"/>
                <w:lang w:eastAsia="pt-BR"/>
              </w:rPr>
              <w:t>.</w:t>
            </w:r>
          </w:p>
        </w:tc>
      </w:tr>
      <w:tr w:rsidR="007A3C4B" w:rsidRPr="006D3E2D" w:rsidTr="008076EB">
        <w:trPr>
          <w:trHeight w:val="2874"/>
        </w:trPr>
        <w:tc>
          <w:tcPr>
            <w:tcW w:w="510" w:type="dxa"/>
            <w:tcBorders>
              <w:top w:val="nil"/>
              <w:left w:val="single" w:sz="4" w:space="0" w:color="000000"/>
              <w:bottom w:val="single" w:sz="4" w:space="0" w:color="000000"/>
              <w:right w:val="single" w:sz="4" w:space="0" w:color="auto"/>
            </w:tcBorders>
            <w:shd w:val="clear" w:color="008080" w:fill="008080"/>
            <w:vAlign w:val="center"/>
            <w:hideMark/>
          </w:tcPr>
          <w:p w:rsidR="007A3C4B" w:rsidRPr="006D3E2D" w:rsidRDefault="007A3C4B"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t>26</w:t>
            </w:r>
          </w:p>
        </w:tc>
        <w:tc>
          <w:tcPr>
            <w:tcW w:w="2326" w:type="dxa"/>
            <w:tcBorders>
              <w:top w:val="single" w:sz="4" w:space="0" w:color="auto"/>
              <w:left w:val="single" w:sz="4" w:space="0" w:color="auto"/>
              <w:bottom w:val="single" w:sz="4" w:space="0" w:color="auto"/>
              <w:right w:val="single" w:sz="4" w:space="0" w:color="auto"/>
            </w:tcBorders>
            <w:shd w:val="clear" w:color="000000" w:fill="E2EFDA"/>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Estabelece protocolo para atendimento de urgências e emergências, com base em diretrizes e evidências científicas.</w:t>
            </w:r>
          </w:p>
        </w:tc>
        <w:tc>
          <w:tcPr>
            <w:tcW w:w="3969" w:type="dxa"/>
            <w:tcBorders>
              <w:top w:val="single" w:sz="4" w:space="0" w:color="auto"/>
              <w:left w:val="single" w:sz="4" w:space="0" w:color="auto"/>
              <w:bottom w:val="single" w:sz="4" w:space="0" w:color="auto"/>
              <w:right w:val="single" w:sz="4" w:space="0" w:color="auto"/>
            </w:tcBorders>
            <w:shd w:val="clear" w:color="000000" w:fill="E2EFDA"/>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As instituições que prestam assistência oncológica devem ter critérios definidos para identificação de agravamento das condições dos pacientes e consequente atendimento de urgências. O atendimento de emergências, como o atendimento de parada </w:t>
            </w:r>
            <w:proofErr w:type="spellStart"/>
            <w:r w:rsidRPr="006D3E2D">
              <w:rPr>
                <w:rFonts w:ascii="Arial" w:eastAsia="Times New Roman" w:hAnsi="Arial" w:cs="Arial"/>
                <w:sz w:val="20"/>
                <w:szCs w:val="20"/>
                <w:lang w:eastAsia="pt-BR"/>
              </w:rPr>
              <w:t>cardiorrespiratoria</w:t>
            </w:r>
            <w:proofErr w:type="spellEnd"/>
            <w:r w:rsidRPr="006D3E2D">
              <w:rPr>
                <w:rFonts w:ascii="Arial" w:eastAsia="Times New Roman" w:hAnsi="Arial" w:cs="Arial"/>
                <w:sz w:val="20"/>
                <w:szCs w:val="20"/>
                <w:lang w:eastAsia="pt-BR"/>
              </w:rPr>
              <w:t xml:space="preserve"> está prontamente disponível e a forma de acionamento deve ser do conhecimento das equipes.  </w:t>
            </w:r>
          </w:p>
        </w:tc>
        <w:tc>
          <w:tcPr>
            <w:tcW w:w="4819" w:type="dxa"/>
            <w:tcBorders>
              <w:top w:val="single" w:sz="4" w:space="0" w:color="auto"/>
              <w:left w:val="single" w:sz="4" w:space="0" w:color="auto"/>
              <w:bottom w:val="single" w:sz="4" w:space="0" w:color="auto"/>
              <w:right w:val="single" w:sz="4" w:space="0" w:color="auto"/>
            </w:tcBorders>
            <w:shd w:val="clear" w:color="000000" w:fill="E2EFDA"/>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Existência de fluxos e protocolos de atendimento de urgência e emergência direcionados à assistência oncológica com definição de papéis da equipe multiprofissional; Verificação do fluxo de atendimento de parada cardiorrespiratória; Avaliação de materiais e equipamentos disponíveis para o atendimento emergencial. </w:t>
            </w:r>
          </w:p>
        </w:tc>
        <w:tc>
          <w:tcPr>
            <w:tcW w:w="4858" w:type="dxa"/>
            <w:tcBorders>
              <w:top w:val="single" w:sz="4" w:space="0" w:color="auto"/>
              <w:left w:val="single" w:sz="4" w:space="0" w:color="auto"/>
              <w:bottom w:val="single" w:sz="4" w:space="0" w:color="auto"/>
              <w:right w:val="single" w:sz="4" w:space="0" w:color="auto"/>
            </w:tcBorders>
            <w:shd w:val="clear" w:color="auto" w:fill="auto"/>
            <w:noWrap/>
          </w:tcPr>
          <w:p w:rsidR="007A3C4B" w:rsidRPr="00673B20" w:rsidRDefault="007A3C4B" w:rsidP="00574EA9">
            <w:pPr>
              <w:pStyle w:val="PargrafodaLista"/>
              <w:spacing w:after="0" w:line="240" w:lineRule="auto"/>
              <w:ind w:left="72"/>
              <w:jc w:val="both"/>
              <w:rPr>
                <w:rFonts w:ascii="Arial" w:eastAsia="Times New Roman" w:hAnsi="Arial" w:cs="Arial"/>
                <w:color w:val="000000"/>
                <w:sz w:val="20"/>
                <w:szCs w:val="20"/>
                <w:lang w:eastAsia="pt-BR"/>
              </w:rPr>
            </w:pPr>
          </w:p>
        </w:tc>
      </w:tr>
      <w:tr w:rsidR="007A3C4B" w:rsidRPr="006D3E2D" w:rsidTr="0029160D">
        <w:trPr>
          <w:trHeight w:val="227"/>
        </w:trPr>
        <w:tc>
          <w:tcPr>
            <w:tcW w:w="510" w:type="dxa"/>
            <w:tcBorders>
              <w:top w:val="nil"/>
              <w:left w:val="single" w:sz="4" w:space="0" w:color="000000"/>
              <w:bottom w:val="single" w:sz="4" w:space="0" w:color="000000"/>
              <w:right w:val="single" w:sz="4" w:space="0" w:color="000000"/>
            </w:tcBorders>
            <w:shd w:val="clear" w:color="008080" w:fill="008080"/>
            <w:vAlign w:val="center"/>
            <w:hideMark/>
          </w:tcPr>
          <w:p w:rsidR="007A3C4B" w:rsidRPr="006D3E2D" w:rsidRDefault="007A3C4B"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t>27</w:t>
            </w:r>
          </w:p>
        </w:tc>
        <w:tc>
          <w:tcPr>
            <w:tcW w:w="2326" w:type="dxa"/>
            <w:tcBorders>
              <w:top w:val="single" w:sz="4" w:space="0" w:color="auto"/>
              <w:left w:val="nil"/>
              <w:bottom w:val="single" w:sz="4" w:space="0" w:color="auto"/>
              <w:right w:val="single" w:sz="4" w:space="0" w:color="auto"/>
            </w:tcBorders>
            <w:shd w:val="clear" w:color="000000" w:fill="E2EFDA"/>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Identifica os riscos assistenciais do paciente/cliente e estabelece ações de prevenção, para a redução da probabilidade de incidentes.</w:t>
            </w:r>
          </w:p>
        </w:tc>
        <w:tc>
          <w:tcPr>
            <w:tcW w:w="3969" w:type="dxa"/>
            <w:tcBorders>
              <w:top w:val="single" w:sz="4" w:space="0" w:color="auto"/>
              <w:left w:val="nil"/>
              <w:bottom w:val="single" w:sz="4" w:space="0" w:color="auto"/>
              <w:right w:val="single" w:sz="4" w:space="0" w:color="auto"/>
            </w:tcBorders>
            <w:shd w:val="clear" w:color="000000" w:fill="E2EFDA"/>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A partir dos riscos assistenciais e vulnerabilidades identificadas a equipe multidisciplinar planeja a assistência/cuidados através do plano terapêutico, comunicação entre equipe assistencial e paciente/ cuidador e monitora a incidência de possíveis eventos adversos. Exemplos de vulnerabilidades: situações de abuso de substâncias, pacientes pediátricos, incapazes, entre outros. </w:t>
            </w:r>
          </w:p>
        </w:tc>
        <w:tc>
          <w:tcPr>
            <w:tcW w:w="4819" w:type="dxa"/>
            <w:tcBorders>
              <w:top w:val="single" w:sz="4" w:space="0" w:color="auto"/>
              <w:left w:val="nil"/>
              <w:bottom w:val="single" w:sz="4" w:space="0" w:color="auto"/>
              <w:right w:val="single" w:sz="4" w:space="0" w:color="auto"/>
            </w:tcBorders>
            <w:shd w:val="clear" w:color="000000" w:fill="E2EFDA"/>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Verificação do método utilizado pela equipe multidisciplinar para identificação, sinalização, definição de condutas, monitoramento da evolução e/ou incidência de eventos adversos. Avaliação de prontuários para verificar o registro multidisciplinar sobre os riscos e plano de cuidados estabelecido. Entrevista com a equipe assistencial para avaliar entendimento sobre identificação de riscos e prevenção de danos. Entrevista com paciente/ cuidador para avaliar a comunicação da equipe assistencial sobre o tema e adesão às diretrizes </w:t>
            </w:r>
            <w:r w:rsidRPr="006D3E2D">
              <w:rPr>
                <w:rFonts w:ascii="Arial" w:eastAsia="Times New Roman" w:hAnsi="Arial" w:cs="Arial"/>
                <w:sz w:val="20"/>
                <w:szCs w:val="20"/>
                <w:lang w:eastAsia="pt-BR"/>
              </w:rPr>
              <w:lastRenderedPageBreak/>
              <w:t>estabelecidas.</w:t>
            </w:r>
          </w:p>
        </w:tc>
        <w:tc>
          <w:tcPr>
            <w:tcW w:w="4858" w:type="dxa"/>
            <w:tcBorders>
              <w:top w:val="single" w:sz="4" w:space="0" w:color="auto"/>
              <w:left w:val="nil"/>
              <w:bottom w:val="single" w:sz="4" w:space="0" w:color="000000"/>
              <w:right w:val="single" w:sz="4" w:space="0" w:color="000000"/>
            </w:tcBorders>
            <w:shd w:val="clear" w:color="auto" w:fill="auto"/>
            <w:noWrap/>
            <w:hideMark/>
          </w:tcPr>
          <w:p w:rsidR="007A3C4B" w:rsidRPr="006D3E2D" w:rsidRDefault="007A3C4B" w:rsidP="00574EA9">
            <w:pPr>
              <w:pStyle w:val="PargrafodaLista"/>
              <w:spacing w:after="0" w:line="240" w:lineRule="auto"/>
              <w:ind w:left="72"/>
              <w:rPr>
                <w:rFonts w:ascii="Arial" w:eastAsia="Times New Roman" w:hAnsi="Arial" w:cs="Arial"/>
                <w:sz w:val="20"/>
                <w:szCs w:val="20"/>
                <w:lang w:eastAsia="pt-BR"/>
              </w:rPr>
            </w:pPr>
          </w:p>
        </w:tc>
      </w:tr>
      <w:tr w:rsidR="007A3C4B" w:rsidRPr="006D3E2D" w:rsidTr="00247782">
        <w:trPr>
          <w:trHeight w:val="227"/>
        </w:trPr>
        <w:tc>
          <w:tcPr>
            <w:tcW w:w="510" w:type="dxa"/>
            <w:tcBorders>
              <w:top w:val="nil"/>
              <w:left w:val="single" w:sz="4" w:space="0" w:color="000000"/>
              <w:bottom w:val="single" w:sz="4" w:space="0" w:color="000000"/>
              <w:right w:val="single" w:sz="4" w:space="0" w:color="000000"/>
            </w:tcBorders>
            <w:shd w:val="clear" w:color="008080" w:fill="008080"/>
            <w:vAlign w:val="center"/>
            <w:hideMark/>
          </w:tcPr>
          <w:p w:rsidR="007A3C4B" w:rsidRPr="006D3E2D" w:rsidRDefault="007A3C4B"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lastRenderedPageBreak/>
              <w:t>28</w:t>
            </w:r>
          </w:p>
        </w:tc>
        <w:tc>
          <w:tcPr>
            <w:tcW w:w="2326" w:type="dxa"/>
            <w:tcBorders>
              <w:top w:val="nil"/>
              <w:left w:val="nil"/>
              <w:bottom w:val="single" w:sz="4" w:space="0" w:color="auto"/>
              <w:right w:val="single" w:sz="4" w:space="0" w:color="auto"/>
            </w:tcBorders>
            <w:shd w:val="clear" w:color="FFFFFF" w:fill="FFFFFF"/>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Identifica evolução desfavorável e cumpre diretrizes de atendimento destes pacientes/clientes. </w:t>
            </w:r>
          </w:p>
        </w:tc>
        <w:tc>
          <w:tcPr>
            <w:tcW w:w="3969" w:type="dxa"/>
            <w:tcBorders>
              <w:top w:val="nil"/>
              <w:left w:val="nil"/>
              <w:bottom w:val="single" w:sz="4" w:space="0" w:color="auto"/>
              <w:right w:val="single" w:sz="4" w:space="0" w:color="auto"/>
            </w:tcBorders>
            <w:shd w:val="clear" w:color="FFFFFF" w:fill="FFFFFF"/>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A evolução desfavorável é traduzida pela alteração dos sinais vitais, associada a outros dados clínicos neurológicos, respiratórios e cardiovasculares. A utilização de critérios para identificação de instabilidade clínica e fluxos de acionamento para atendimento de urgências e emergências melhora a comunicação entre a equipe assistencial promovendo agilidade e segurança nos cuidados com o paciente.</w:t>
            </w:r>
          </w:p>
        </w:tc>
        <w:tc>
          <w:tcPr>
            <w:tcW w:w="4819" w:type="dxa"/>
            <w:tcBorders>
              <w:top w:val="nil"/>
              <w:left w:val="nil"/>
              <w:bottom w:val="single" w:sz="4" w:space="0" w:color="auto"/>
              <w:right w:val="single" w:sz="4" w:space="0" w:color="auto"/>
            </w:tcBorders>
            <w:shd w:val="clear" w:color="FFFFFF" w:fill="FFFFFF"/>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Protocolo atualizado contendo os critérios para identificação de instabilidade clínica e fluxos de acionamento para atendimento de urgências e emergências; Entrevistas à equipe assistencial para avaliação do entendimento sobre as diretrizes do protocolo estabelecido (Exemplo: protocolos de sepse e reação </w:t>
            </w:r>
            <w:proofErr w:type="spellStart"/>
            <w:r w:rsidRPr="006D3E2D">
              <w:rPr>
                <w:rFonts w:ascii="Arial" w:eastAsia="Times New Roman" w:hAnsi="Arial" w:cs="Arial"/>
                <w:sz w:val="20"/>
                <w:szCs w:val="20"/>
                <w:lang w:eastAsia="pt-BR"/>
              </w:rPr>
              <w:t>infusional</w:t>
            </w:r>
            <w:proofErr w:type="spellEnd"/>
            <w:r w:rsidRPr="006D3E2D">
              <w:rPr>
                <w:rFonts w:ascii="Arial" w:eastAsia="Times New Roman" w:hAnsi="Arial" w:cs="Arial"/>
                <w:sz w:val="20"/>
                <w:szCs w:val="20"/>
                <w:lang w:eastAsia="pt-BR"/>
              </w:rPr>
              <w:t xml:space="preserve">); Avaliação da aplicação do protocolo através de registros em prontuário. </w:t>
            </w:r>
          </w:p>
        </w:tc>
        <w:tc>
          <w:tcPr>
            <w:tcW w:w="4858" w:type="dxa"/>
            <w:tcBorders>
              <w:top w:val="nil"/>
              <w:left w:val="nil"/>
              <w:bottom w:val="single" w:sz="4" w:space="0" w:color="000000"/>
              <w:right w:val="single" w:sz="4" w:space="0" w:color="000000"/>
            </w:tcBorders>
            <w:shd w:val="clear" w:color="auto" w:fill="auto"/>
            <w:noWrap/>
            <w:hideMark/>
          </w:tcPr>
          <w:p w:rsidR="007A3C4B" w:rsidRPr="006D3E2D" w:rsidRDefault="007A3C4B" w:rsidP="00574EA9">
            <w:pPr>
              <w:pStyle w:val="PargrafodaLista"/>
              <w:spacing w:after="0" w:line="240" w:lineRule="auto"/>
              <w:ind w:left="72"/>
              <w:jc w:val="both"/>
              <w:rPr>
                <w:rFonts w:ascii="Arial" w:eastAsia="Times New Roman" w:hAnsi="Arial" w:cs="Arial"/>
                <w:sz w:val="20"/>
                <w:szCs w:val="20"/>
                <w:lang w:eastAsia="pt-BR"/>
              </w:rPr>
            </w:pPr>
          </w:p>
        </w:tc>
      </w:tr>
      <w:tr w:rsidR="007A3C4B" w:rsidRPr="006D3E2D" w:rsidTr="00BA7EAA">
        <w:trPr>
          <w:trHeight w:val="227"/>
        </w:trPr>
        <w:tc>
          <w:tcPr>
            <w:tcW w:w="510" w:type="dxa"/>
            <w:tcBorders>
              <w:top w:val="nil"/>
              <w:left w:val="single" w:sz="4" w:space="0" w:color="000000"/>
              <w:bottom w:val="single" w:sz="4" w:space="0" w:color="000000"/>
              <w:right w:val="single" w:sz="4" w:space="0" w:color="000000"/>
            </w:tcBorders>
            <w:shd w:val="clear" w:color="008080" w:fill="008080"/>
            <w:vAlign w:val="center"/>
            <w:hideMark/>
          </w:tcPr>
          <w:p w:rsidR="007A3C4B" w:rsidRPr="006D3E2D" w:rsidRDefault="007A3C4B"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t>29</w:t>
            </w:r>
          </w:p>
        </w:tc>
        <w:tc>
          <w:tcPr>
            <w:tcW w:w="2326" w:type="dxa"/>
            <w:tcBorders>
              <w:top w:val="nil"/>
              <w:left w:val="nil"/>
              <w:bottom w:val="single" w:sz="4" w:space="0" w:color="auto"/>
              <w:right w:val="single" w:sz="4" w:space="0" w:color="auto"/>
            </w:tcBorders>
            <w:shd w:val="clear" w:color="auto" w:fill="auto"/>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 Dispõe de plano de contingência para atender a situações de emergência.</w:t>
            </w:r>
          </w:p>
        </w:tc>
        <w:tc>
          <w:tcPr>
            <w:tcW w:w="3969" w:type="dxa"/>
            <w:tcBorders>
              <w:top w:val="nil"/>
              <w:left w:val="nil"/>
              <w:bottom w:val="single" w:sz="4" w:space="0" w:color="auto"/>
              <w:right w:val="single" w:sz="4" w:space="0" w:color="auto"/>
            </w:tcBorders>
            <w:shd w:val="clear" w:color="FFFFFF" w:fill="FFFFFF"/>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Situações de contingência são as alternativas em resposta às falhas do padrão normal de funcionamento. Exemplos são falhas de equipamentos essenciais ou críticos ao serviço (como bombas de infusão, </w:t>
            </w:r>
            <w:proofErr w:type="spellStart"/>
            <w:r w:rsidRPr="006D3E2D">
              <w:rPr>
                <w:rFonts w:ascii="Arial" w:eastAsia="Times New Roman" w:hAnsi="Arial" w:cs="Arial"/>
                <w:sz w:val="20"/>
                <w:szCs w:val="20"/>
                <w:lang w:eastAsia="pt-BR"/>
              </w:rPr>
              <w:t>cardioversosor</w:t>
            </w:r>
            <w:proofErr w:type="spellEnd"/>
            <w:r w:rsidRPr="006D3E2D">
              <w:rPr>
                <w:rFonts w:ascii="Arial" w:eastAsia="Times New Roman" w:hAnsi="Arial" w:cs="Arial"/>
                <w:sz w:val="20"/>
                <w:szCs w:val="20"/>
                <w:lang w:eastAsia="pt-BR"/>
              </w:rPr>
              <w:t xml:space="preserve"> e cabine de segurança biológica), falta de materiais e medicamentos ou falhas na estrutura predial (elevador, ar condicionado, água e energia, por exemplo).</w:t>
            </w:r>
          </w:p>
        </w:tc>
        <w:tc>
          <w:tcPr>
            <w:tcW w:w="4819" w:type="dxa"/>
            <w:tcBorders>
              <w:top w:val="nil"/>
              <w:left w:val="nil"/>
              <w:bottom w:val="single" w:sz="4" w:space="0" w:color="auto"/>
              <w:right w:val="single" w:sz="4" w:space="0" w:color="auto"/>
            </w:tcBorders>
            <w:shd w:val="clear" w:color="FFFFFF" w:fill="FFFFFF"/>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Verificação se há formalização dos principais riscos relacionados à assistência oncológica e terapia </w:t>
            </w:r>
            <w:proofErr w:type="spellStart"/>
            <w:r w:rsidRPr="006D3E2D">
              <w:rPr>
                <w:rFonts w:ascii="Arial" w:eastAsia="Times New Roman" w:hAnsi="Arial" w:cs="Arial"/>
                <w:sz w:val="20"/>
                <w:szCs w:val="20"/>
                <w:lang w:eastAsia="pt-BR"/>
              </w:rPr>
              <w:t>antineoplásica</w:t>
            </w:r>
            <w:proofErr w:type="spellEnd"/>
            <w:r w:rsidRPr="006D3E2D">
              <w:rPr>
                <w:rFonts w:ascii="Arial" w:eastAsia="Times New Roman" w:hAnsi="Arial" w:cs="Arial"/>
                <w:sz w:val="20"/>
                <w:szCs w:val="20"/>
                <w:lang w:eastAsia="pt-BR"/>
              </w:rPr>
              <w:t xml:space="preserve"> com planejamento preventivo e alternativo aos eventos que possam afetar as atividades normais; Verificação da disponibilização e registros de treinamentos. Verificação do conhecimento dos profissionais envolvidos sobre responsabilidades específicas descritas no plano de contingência.</w:t>
            </w:r>
          </w:p>
        </w:tc>
        <w:tc>
          <w:tcPr>
            <w:tcW w:w="4858" w:type="dxa"/>
            <w:tcBorders>
              <w:top w:val="nil"/>
              <w:left w:val="nil"/>
              <w:bottom w:val="single" w:sz="4" w:space="0" w:color="000000"/>
              <w:right w:val="single" w:sz="4" w:space="0" w:color="000000"/>
            </w:tcBorders>
            <w:shd w:val="clear" w:color="auto" w:fill="auto"/>
            <w:noWrap/>
            <w:vAlign w:val="center"/>
            <w:hideMark/>
          </w:tcPr>
          <w:p w:rsidR="007A3C4B" w:rsidRPr="006D3E2D" w:rsidRDefault="007A3C4B" w:rsidP="00574EA9">
            <w:pPr>
              <w:pStyle w:val="PargrafodaLista"/>
              <w:spacing w:after="0" w:line="240" w:lineRule="auto"/>
              <w:ind w:left="72"/>
              <w:jc w:val="both"/>
              <w:rPr>
                <w:rFonts w:ascii="Arial" w:eastAsia="Times New Roman" w:hAnsi="Arial" w:cs="Arial"/>
                <w:sz w:val="20"/>
                <w:szCs w:val="20"/>
                <w:lang w:eastAsia="pt-BR"/>
              </w:rPr>
            </w:pPr>
          </w:p>
        </w:tc>
      </w:tr>
      <w:tr w:rsidR="007A3C4B" w:rsidRPr="006D3E2D" w:rsidTr="006D3F4A">
        <w:trPr>
          <w:trHeight w:val="227"/>
        </w:trPr>
        <w:tc>
          <w:tcPr>
            <w:tcW w:w="510" w:type="dxa"/>
            <w:tcBorders>
              <w:top w:val="nil"/>
              <w:left w:val="single" w:sz="4" w:space="0" w:color="000000"/>
              <w:bottom w:val="single" w:sz="4" w:space="0" w:color="000000"/>
              <w:right w:val="single" w:sz="4" w:space="0" w:color="000000"/>
            </w:tcBorders>
            <w:shd w:val="clear" w:color="008080" w:fill="008080"/>
            <w:vAlign w:val="center"/>
            <w:hideMark/>
          </w:tcPr>
          <w:p w:rsidR="007A3C4B" w:rsidRPr="006D3E2D" w:rsidRDefault="007A3C4B"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t>30</w:t>
            </w:r>
          </w:p>
        </w:tc>
        <w:tc>
          <w:tcPr>
            <w:tcW w:w="2326" w:type="dxa"/>
            <w:tcBorders>
              <w:top w:val="nil"/>
              <w:left w:val="nil"/>
              <w:bottom w:val="single" w:sz="4" w:space="0" w:color="auto"/>
              <w:right w:val="single" w:sz="4" w:space="0" w:color="auto"/>
            </w:tcBorders>
            <w:shd w:val="clear" w:color="auto" w:fill="auto"/>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Cumpre os critérios para a prática segura de transporte </w:t>
            </w:r>
            <w:proofErr w:type="spellStart"/>
            <w:r w:rsidRPr="006D3E2D">
              <w:rPr>
                <w:rFonts w:ascii="Arial" w:eastAsia="Times New Roman" w:hAnsi="Arial" w:cs="Arial"/>
                <w:sz w:val="20"/>
                <w:szCs w:val="20"/>
                <w:lang w:eastAsia="pt-BR"/>
              </w:rPr>
              <w:t>intra</w:t>
            </w:r>
            <w:proofErr w:type="spellEnd"/>
            <w:r w:rsidRPr="006D3E2D">
              <w:rPr>
                <w:rFonts w:ascii="Arial" w:eastAsia="Times New Roman" w:hAnsi="Arial" w:cs="Arial"/>
                <w:sz w:val="20"/>
                <w:szCs w:val="20"/>
                <w:lang w:eastAsia="pt-BR"/>
              </w:rPr>
              <w:t xml:space="preserve"> e extra hospitalar dos pacientes/clientes.</w:t>
            </w:r>
          </w:p>
        </w:tc>
        <w:tc>
          <w:tcPr>
            <w:tcW w:w="3969" w:type="dxa"/>
            <w:tcBorders>
              <w:top w:val="nil"/>
              <w:left w:val="nil"/>
              <w:bottom w:val="single" w:sz="4" w:space="0" w:color="auto"/>
              <w:right w:val="single" w:sz="4" w:space="0" w:color="auto"/>
            </w:tcBorders>
            <w:shd w:val="clear" w:color="auto" w:fill="auto"/>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O tipo de transporte dependerá da condição do paciente assim como o perfil do profissional que realizará e/ou acompanhará o paciente.  Uma diretriz deverá definir como, quando e por quem o transporte será efetuado bem como a necessidade de equipamentos, acompanhamento médico e tipo de suporte de vida (no caso das ambulâncias: suporte básico ou avançado).  O transporte/ambulância para o trajeto deve ser</w:t>
            </w:r>
            <w:proofErr w:type="gramStart"/>
            <w:r w:rsidRPr="006D3E2D">
              <w:rPr>
                <w:rFonts w:ascii="Arial" w:eastAsia="Times New Roman" w:hAnsi="Arial" w:cs="Arial"/>
                <w:sz w:val="20"/>
                <w:szCs w:val="20"/>
                <w:lang w:eastAsia="pt-BR"/>
              </w:rPr>
              <w:t xml:space="preserve">  </w:t>
            </w:r>
            <w:proofErr w:type="gramEnd"/>
            <w:r w:rsidRPr="006D3E2D">
              <w:rPr>
                <w:rFonts w:ascii="Arial" w:eastAsia="Times New Roman" w:hAnsi="Arial" w:cs="Arial"/>
                <w:sz w:val="20"/>
                <w:szCs w:val="20"/>
                <w:lang w:eastAsia="pt-BR"/>
              </w:rPr>
              <w:t>validado pela equipe multiprofissional. Serviços terceirizados de transporte devem ser homologados formalmente.</w:t>
            </w:r>
          </w:p>
          <w:p w:rsidR="007A3C4B" w:rsidRPr="006D3E2D" w:rsidRDefault="007A3C4B" w:rsidP="00F01DE9">
            <w:pPr>
              <w:spacing w:after="0" w:line="240" w:lineRule="auto"/>
              <w:rPr>
                <w:rFonts w:ascii="Arial" w:eastAsia="Times New Roman" w:hAnsi="Arial" w:cs="Arial"/>
                <w:sz w:val="20"/>
                <w:szCs w:val="20"/>
                <w:lang w:eastAsia="pt-BR"/>
              </w:rPr>
            </w:pPr>
          </w:p>
        </w:tc>
        <w:tc>
          <w:tcPr>
            <w:tcW w:w="4819" w:type="dxa"/>
            <w:tcBorders>
              <w:top w:val="nil"/>
              <w:left w:val="nil"/>
              <w:bottom w:val="single" w:sz="4" w:space="0" w:color="auto"/>
              <w:right w:val="single" w:sz="4" w:space="0" w:color="auto"/>
            </w:tcBorders>
            <w:shd w:val="clear" w:color="auto" w:fill="auto"/>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Existência de fluxo formal de transporte </w:t>
            </w:r>
            <w:proofErr w:type="spellStart"/>
            <w:r w:rsidRPr="006D3E2D">
              <w:rPr>
                <w:rFonts w:ascii="Arial" w:eastAsia="Times New Roman" w:hAnsi="Arial" w:cs="Arial"/>
                <w:sz w:val="20"/>
                <w:szCs w:val="20"/>
                <w:lang w:eastAsia="pt-BR"/>
              </w:rPr>
              <w:t>intra</w:t>
            </w:r>
            <w:proofErr w:type="spellEnd"/>
            <w:r w:rsidRPr="006D3E2D">
              <w:rPr>
                <w:rFonts w:ascii="Arial" w:eastAsia="Times New Roman" w:hAnsi="Arial" w:cs="Arial"/>
                <w:sz w:val="20"/>
                <w:szCs w:val="20"/>
                <w:lang w:eastAsia="pt-BR"/>
              </w:rPr>
              <w:t xml:space="preserve"> e extra hospitalar; </w:t>
            </w:r>
            <w:r w:rsidRPr="006D3E2D">
              <w:rPr>
                <w:rFonts w:ascii="Arial" w:eastAsia="Times New Roman" w:hAnsi="Arial" w:cs="Arial"/>
                <w:sz w:val="20"/>
                <w:szCs w:val="20"/>
                <w:lang w:eastAsia="pt-BR"/>
              </w:rPr>
              <w:br/>
              <w:t>Verificação das condições dos equipamentos/veículos de transporte e as manutenções preventivas; Verificar os registros de higienização e a avaliação pelo SCIH (incluindo ambulâncias); Avaliação de como é monitorada a segurança e qualidade do processo de transporte, bem como o tempo de espera e satisfação da equipe assistencial. Verificação da homologação do transporte realizado por serviços terceiros.</w:t>
            </w:r>
          </w:p>
        </w:tc>
        <w:tc>
          <w:tcPr>
            <w:tcW w:w="4858" w:type="dxa"/>
            <w:tcBorders>
              <w:top w:val="nil"/>
              <w:left w:val="nil"/>
              <w:bottom w:val="single" w:sz="4" w:space="0" w:color="000000"/>
              <w:right w:val="single" w:sz="4" w:space="0" w:color="000000"/>
            </w:tcBorders>
            <w:shd w:val="clear" w:color="auto" w:fill="auto"/>
            <w:noWrap/>
            <w:hideMark/>
          </w:tcPr>
          <w:p w:rsidR="007A3C4B" w:rsidRPr="0095659B" w:rsidRDefault="007A3C4B" w:rsidP="00574EA9">
            <w:pPr>
              <w:pStyle w:val="PargrafodaLista"/>
              <w:spacing w:after="0" w:line="240" w:lineRule="auto"/>
              <w:ind w:left="360"/>
              <w:jc w:val="both"/>
              <w:rPr>
                <w:rFonts w:ascii="Arial" w:eastAsia="Times New Roman" w:hAnsi="Arial" w:cs="Arial"/>
                <w:sz w:val="20"/>
                <w:szCs w:val="20"/>
                <w:lang w:eastAsia="pt-BR"/>
              </w:rPr>
            </w:pPr>
          </w:p>
        </w:tc>
      </w:tr>
      <w:tr w:rsidR="007A3C4B" w:rsidRPr="006D3E2D" w:rsidTr="00BA7EAA">
        <w:trPr>
          <w:trHeight w:val="227"/>
        </w:trPr>
        <w:tc>
          <w:tcPr>
            <w:tcW w:w="510" w:type="dxa"/>
            <w:tcBorders>
              <w:top w:val="nil"/>
              <w:left w:val="single" w:sz="4" w:space="0" w:color="000000"/>
              <w:bottom w:val="single" w:sz="4" w:space="0" w:color="000000"/>
              <w:right w:val="single" w:sz="4" w:space="0" w:color="000000"/>
            </w:tcBorders>
            <w:shd w:val="clear" w:color="008080" w:fill="008080"/>
            <w:vAlign w:val="center"/>
            <w:hideMark/>
          </w:tcPr>
          <w:p w:rsidR="007A3C4B" w:rsidRPr="006D3E2D" w:rsidRDefault="007A3C4B"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t>31</w:t>
            </w:r>
          </w:p>
        </w:tc>
        <w:tc>
          <w:tcPr>
            <w:tcW w:w="2326" w:type="dxa"/>
            <w:tcBorders>
              <w:top w:val="nil"/>
              <w:left w:val="nil"/>
              <w:bottom w:val="single" w:sz="4" w:space="0" w:color="auto"/>
              <w:right w:val="single" w:sz="4" w:space="0" w:color="auto"/>
            </w:tcBorders>
            <w:shd w:val="clear" w:color="FFFFFF" w:fill="FFFFFF"/>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Define e monitora fluxo de referência e contra referência para os pacientes oncológicos em regime de atendimento ambulatorial ou hospitalar.</w:t>
            </w:r>
          </w:p>
        </w:tc>
        <w:tc>
          <w:tcPr>
            <w:tcW w:w="3969" w:type="dxa"/>
            <w:tcBorders>
              <w:top w:val="nil"/>
              <w:left w:val="nil"/>
              <w:bottom w:val="single" w:sz="4" w:space="0" w:color="auto"/>
              <w:right w:val="single" w:sz="4" w:space="0" w:color="auto"/>
            </w:tcBorders>
            <w:shd w:val="clear" w:color="FFFFFF" w:fill="FFFFFF"/>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Referência e contra referência devem ser organizadas para garantia do acesso aos pacientes a todas as etapas do tratamento em tempo hábil. </w:t>
            </w:r>
          </w:p>
        </w:tc>
        <w:tc>
          <w:tcPr>
            <w:tcW w:w="4819" w:type="dxa"/>
            <w:tcBorders>
              <w:top w:val="nil"/>
              <w:left w:val="nil"/>
              <w:bottom w:val="single" w:sz="4" w:space="0" w:color="auto"/>
              <w:right w:val="single" w:sz="4" w:space="0" w:color="auto"/>
            </w:tcBorders>
            <w:shd w:val="clear" w:color="FFFFFF" w:fill="FFFFFF"/>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Formalização das diretrizes e fluxos relacionados </w:t>
            </w:r>
            <w:proofErr w:type="gramStart"/>
            <w:r w:rsidRPr="006D3E2D">
              <w:rPr>
                <w:rFonts w:ascii="Arial" w:eastAsia="Times New Roman" w:hAnsi="Arial" w:cs="Arial"/>
                <w:sz w:val="20"/>
                <w:szCs w:val="20"/>
                <w:lang w:eastAsia="pt-BR"/>
              </w:rPr>
              <w:t>a</w:t>
            </w:r>
            <w:proofErr w:type="gramEnd"/>
            <w:r w:rsidRPr="006D3E2D">
              <w:rPr>
                <w:rFonts w:ascii="Arial" w:eastAsia="Times New Roman" w:hAnsi="Arial" w:cs="Arial"/>
                <w:sz w:val="20"/>
                <w:szCs w:val="20"/>
                <w:lang w:eastAsia="pt-BR"/>
              </w:rPr>
              <w:t xml:space="preserve"> referência e contra referência para os pacientes em tratamento clínico ou cirúrgico; Avaliação da segurança do fluxo definido para atendimento de parada cardiorrespiratória e outras situações críticas  quando realizada por outra referência; Verificação da documentação e registros obrigatórios nos casos de encaminhamento dos pacientes a outros serviços.</w:t>
            </w:r>
          </w:p>
        </w:tc>
        <w:tc>
          <w:tcPr>
            <w:tcW w:w="4858" w:type="dxa"/>
            <w:tcBorders>
              <w:top w:val="nil"/>
              <w:left w:val="nil"/>
              <w:bottom w:val="single" w:sz="4" w:space="0" w:color="auto"/>
              <w:right w:val="single" w:sz="4" w:space="0" w:color="000000"/>
            </w:tcBorders>
            <w:shd w:val="clear" w:color="auto" w:fill="auto"/>
            <w:noWrap/>
            <w:vAlign w:val="center"/>
            <w:hideMark/>
          </w:tcPr>
          <w:p w:rsidR="007A3C4B" w:rsidRPr="006D3E2D" w:rsidRDefault="0017427A" w:rsidP="00574EA9">
            <w:pPr>
              <w:pStyle w:val="PargrafodaLista"/>
              <w:spacing w:after="0" w:line="240" w:lineRule="auto"/>
              <w:ind w:left="432"/>
              <w:jc w:val="both"/>
              <w:rPr>
                <w:rFonts w:ascii="Arial" w:eastAsia="Times New Roman" w:hAnsi="Arial" w:cs="Arial"/>
                <w:color w:val="000000"/>
                <w:sz w:val="20"/>
                <w:szCs w:val="20"/>
                <w:lang w:eastAsia="pt-BR"/>
              </w:rPr>
            </w:pPr>
            <w:r>
              <w:rPr>
                <w:rFonts w:ascii="Arial" w:eastAsia="Times New Roman" w:hAnsi="Arial" w:cs="Arial"/>
                <w:color w:val="000000"/>
                <w:sz w:val="20"/>
                <w:szCs w:val="20"/>
                <w:lang w:eastAsia="pt-BR"/>
              </w:rPr>
              <w:t>.</w:t>
            </w:r>
            <w:r w:rsidR="007A3C4B" w:rsidRPr="006D3E2D">
              <w:rPr>
                <w:rFonts w:ascii="Arial" w:eastAsia="Times New Roman" w:hAnsi="Arial" w:cs="Arial"/>
                <w:color w:val="000000"/>
                <w:sz w:val="20"/>
                <w:szCs w:val="20"/>
                <w:lang w:eastAsia="pt-BR"/>
              </w:rPr>
              <w:t xml:space="preserve">  </w:t>
            </w:r>
          </w:p>
        </w:tc>
      </w:tr>
      <w:tr w:rsidR="007A3C4B" w:rsidRPr="006D3E2D" w:rsidTr="00BA7EAA">
        <w:trPr>
          <w:trHeight w:val="227"/>
        </w:trPr>
        <w:tc>
          <w:tcPr>
            <w:tcW w:w="510" w:type="dxa"/>
            <w:tcBorders>
              <w:top w:val="nil"/>
              <w:left w:val="single" w:sz="4" w:space="0" w:color="000000"/>
              <w:bottom w:val="single" w:sz="4" w:space="0" w:color="000000"/>
              <w:right w:val="single" w:sz="4" w:space="0" w:color="auto"/>
            </w:tcBorders>
            <w:shd w:val="clear" w:color="008080" w:fill="008080"/>
            <w:vAlign w:val="center"/>
            <w:hideMark/>
          </w:tcPr>
          <w:p w:rsidR="007A3C4B" w:rsidRPr="006D3E2D" w:rsidRDefault="007A3C4B"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t>32</w:t>
            </w:r>
          </w:p>
        </w:tc>
        <w:tc>
          <w:tcPr>
            <w:tcW w:w="2326" w:type="dxa"/>
            <w:tcBorders>
              <w:top w:val="single" w:sz="4" w:space="0" w:color="auto"/>
              <w:left w:val="single" w:sz="4" w:space="0" w:color="auto"/>
              <w:bottom w:val="single" w:sz="4" w:space="0" w:color="auto"/>
              <w:right w:val="single" w:sz="4" w:space="0" w:color="auto"/>
            </w:tcBorders>
            <w:shd w:val="clear" w:color="auto" w:fill="auto"/>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Cumpre diretrizes de </w:t>
            </w:r>
            <w:r w:rsidRPr="006D3E2D">
              <w:rPr>
                <w:rFonts w:ascii="Arial" w:eastAsia="Times New Roman" w:hAnsi="Arial" w:cs="Arial"/>
                <w:sz w:val="20"/>
                <w:szCs w:val="20"/>
                <w:lang w:eastAsia="pt-BR"/>
              </w:rPr>
              <w:lastRenderedPageBreak/>
              <w:t>transição de cuidado entre profissionais e áreas assistenciais, bem como nas transferências externas.</w:t>
            </w: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lastRenderedPageBreak/>
              <w:t xml:space="preserve">Durante as transições de cuidados (como </w:t>
            </w:r>
            <w:r w:rsidRPr="006D3E2D">
              <w:rPr>
                <w:rFonts w:ascii="Arial" w:eastAsia="Times New Roman" w:hAnsi="Arial" w:cs="Arial"/>
                <w:sz w:val="20"/>
                <w:szCs w:val="20"/>
                <w:lang w:eastAsia="pt-BR"/>
              </w:rPr>
              <w:lastRenderedPageBreak/>
              <w:t>na passagem de plantão) bem como transferências internas (encaminhamento do paciente entre setores da unidade) e externas (transferência para outro serviço) as informações relevantes para a continuidade do tratamento não devem se perder.</w:t>
            </w: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lastRenderedPageBreak/>
              <w:t xml:space="preserve">Verificação se há definição de quais informações </w:t>
            </w:r>
            <w:r w:rsidRPr="006D3E2D">
              <w:rPr>
                <w:rFonts w:ascii="Arial" w:eastAsia="Times New Roman" w:hAnsi="Arial" w:cs="Arial"/>
                <w:sz w:val="20"/>
                <w:szCs w:val="20"/>
                <w:lang w:eastAsia="pt-BR"/>
              </w:rPr>
              <w:lastRenderedPageBreak/>
              <w:t>são essenciais para continuidade dos cuidados (podem incluir alergias conhecidas, superfície corporal do paciente, esquema de tratamento, reações adversas apresentadas, entre outras) e de que forma ficam disponíveis no prontuário para que não se perca qualidade na assistência quando há troca de profissional no cuidado do paciente; Entrevistas aos membros da equipe multiprofissional para avaliar o conhecimento das diretrizes de transição de cuidados; Confirmação em prontuário as informações disponibilizadas.</w:t>
            </w:r>
          </w:p>
        </w:tc>
        <w:tc>
          <w:tcPr>
            <w:tcW w:w="485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77E01" w:rsidRPr="006D3E2D" w:rsidRDefault="00241FF3" w:rsidP="00A77E01">
            <w:pPr>
              <w:autoSpaceDE w:val="0"/>
              <w:autoSpaceDN w:val="0"/>
              <w:adjustRightInd w:val="0"/>
              <w:spacing w:after="0" w:line="240" w:lineRule="auto"/>
              <w:jc w:val="center"/>
              <w:rPr>
                <w:rFonts w:ascii="Arial" w:hAnsi="Arial" w:cs="Arial"/>
                <w:b/>
                <w:color w:val="FF0000"/>
                <w:sz w:val="20"/>
                <w:szCs w:val="20"/>
              </w:rPr>
            </w:pPr>
            <w:r>
              <w:rPr>
                <w:rFonts w:ascii="Arial" w:hAnsi="Arial" w:cs="Arial"/>
                <w:b/>
                <w:color w:val="FF0000"/>
                <w:sz w:val="20"/>
                <w:szCs w:val="20"/>
              </w:rPr>
              <w:lastRenderedPageBreak/>
              <w:t>28 – 08</w:t>
            </w:r>
            <w:r w:rsidR="00A77E01" w:rsidRPr="006D3E2D">
              <w:rPr>
                <w:rFonts w:ascii="Arial" w:hAnsi="Arial" w:cs="Arial"/>
                <w:b/>
                <w:color w:val="FF0000"/>
                <w:sz w:val="20"/>
                <w:szCs w:val="20"/>
              </w:rPr>
              <w:t xml:space="preserve"> - 2025</w:t>
            </w:r>
          </w:p>
          <w:p w:rsidR="007A3C4B" w:rsidRPr="006D3E2D" w:rsidRDefault="00C76FF1" w:rsidP="00574EA9">
            <w:pPr>
              <w:pStyle w:val="PargrafodaLista"/>
              <w:spacing w:after="0" w:line="240" w:lineRule="auto"/>
              <w:ind w:left="72"/>
              <w:rPr>
                <w:rFonts w:ascii="Arial" w:eastAsia="Times New Roman" w:hAnsi="Arial" w:cs="Arial"/>
                <w:color w:val="000000"/>
                <w:sz w:val="20"/>
                <w:szCs w:val="20"/>
                <w:lang w:eastAsia="pt-BR"/>
              </w:rPr>
            </w:pPr>
            <w:r w:rsidRPr="006D3E2D">
              <w:rPr>
                <w:rFonts w:ascii="Arial" w:eastAsia="Times New Roman" w:hAnsi="Arial" w:cs="Arial"/>
                <w:color w:val="000000"/>
                <w:sz w:val="20"/>
                <w:szCs w:val="20"/>
                <w:lang w:eastAsia="pt-BR"/>
              </w:rPr>
              <w:lastRenderedPageBreak/>
              <w:t xml:space="preserve"> </w:t>
            </w:r>
          </w:p>
        </w:tc>
      </w:tr>
      <w:tr w:rsidR="007A3C4B" w:rsidRPr="006D3E2D" w:rsidTr="00BA7EAA">
        <w:trPr>
          <w:trHeight w:val="227"/>
        </w:trPr>
        <w:tc>
          <w:tcPr>
            <w:tcW w:w="510" w:type="dxa"/>
            <w:tcBorders>
              <w:top w:val="nil"/>
              <w:left w:val="single" w:sz="4" w:space="0" w:color="000000"/>
              <w:bottom w:val="single" w:sz="4" w:space="0" w:color="000000"/>
              <w:right w:val="single" w:sz="4" w:space="0" w:color="000000"/>
            </w:tcBorders>
            <w:shd w:val="clear" w:color="008080" w:fill="008080"/>
            <w:vAlign w:val="center"/>
            <w:hideMark/>
          </w:tcPr>
          <w:p w:rsidR="007A3C4B" w:rsidRPr="006D3E2D" w:rsidRDefault="007A3C4B"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lastRenderedPageBreak/>
              <w:t>33</w:t>
            </w:r>
          </w:p>
        </w:tc>
        <w:tc>
          <w:tcPr>
            <w:tcW w:w="2326" w:type="dxa"/>
            <w:tcBorders>
              <w:top w:val="single" w:sz="4" w:space="0" w:color="auto"/>
              <w:left w:val="nil"/>
              <w:bottom w:val="single" w:sz="4" w:space="0" w:color="auto"/>
              <w:right w:val="single" w:sz="4" w:space="0" w:color="auto"/>
            </w:tcBorders>
            <w:shd w:val="clear" w:color="auto" w:fill="auto"/>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Cumpre as diretrizes de notificação de incidentes e eventos adversos.</w:t>
            </w:r>
          </w:p>
        </w:tc>
        <w:tc>
          <w:tcPr>
            <w:tcW w:w="3969" w:type="dxa"/>
            <w:tcBorders>
              <w:top w:val="single" w:sz="4" w:space="0" w:color="auto"/>
              <w:left w:val="nil"/>
              <w:bottom w:val="single" w:sz="4" w:space="0" w:color="auto"/>
              <w:right w:val="single" w:sz="4" w:space="0" w:color="auto"/>
            </w:tcBorders>
            <w:shd w:val="clear" w:color="FFFFFF" w:fill="FFFFFF"/>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Os incidentes são situações que poderiam resultar, ou resultaram, em dano desnecessário para o paciente (evento adverso). Exemplos são erros de medicação (como administração de medicamento em paciente errado, dose errada, medicamento prescrito e não administrado), erros em procedimentos (como biópsia, aférese, </w:t>
            </w:r>
            <w:proofErr w:type="spellStart"/>
            <w:r w:rsidRPr="006D3E2D">
              <w:rPr>
                <w:rFonts w:ascii="Arial" w:eastAsia="Times New Roman" w:hAnsi="Arial" w:cs="Arial"/>
                <w:sz w:val="20"/>
                <w:szCs w:val="20"/>
                <w:lang w:eastAsia="pt-BR"/>
              </w:rPr>
              <w:t>mielograma</w:t>
            </w:r>
            <w:proofErr w:type="spellEnd"/>
            <w:r w:rsidRPr="006D3E2D">
              <w:rPr>
                <w:rFonts w:ascii="Arial" w:eastAsia="Times New Roman" w:hAnsi="Arial" w:cs="Arial"/>
                <w:sz w:val="20"/>
                <w:szCs w:val="20"/>
                <w:lang w:eastAsia="pt-BR"/>
              </w:rPr>
              <w:t xml:space="preserve"> e </w:t>
            </w:r>
            <w:proofErr w:type="spellStart"/>
            <w:r w:rsidRPr="006D3E2D">
              <w:rPr>
                <w:rFonts w:ascii="Arial" w:eastAsia="Times New Roman" w:hAnsi="Arial" w:cs="Arial"/>
                <w:sz w:val="20"/>
                <w:szCs w:val="20"/>
                <w:lang w:eastAsia="pt-BR"/>
              </w:rPr>
              <w:t>hemotransfusão</w:t>
            </w:r>
            <w:proofErr w:type="spellEnd"/>
            <w:r w:rsidRPr="006D3E2D">
              <w:rPr>
                <w:rFonts w:ascii="Arial" w:eastAsia="Times New Roman" w:hAnsi="Arial" w:cs="Arial"/>
                <w:sz w:val="20"/>
                <w:szCs w:val="20"/>
                <w:lang w:eastAsia="pt-BR"/>
              </w:rPr>
              <w:t xml:space="preserve">), flebite, queda, </w:t>
            </w:r>
            <w:proofErr w:type="spellStart"/>
            <w:r w:rsidRPr="006D3E2D">
              <w:rPr>
                <w:rFonts w:ascii="Arial" w:eastAsia="Times New Roman" w:hAnsi="Arial" w:cs="Arial"/>
                <w:sz w:val="20"/>
                <w:szCs w:val="20"/>
                <w:lang w:eastAsia="pt-BR"/>
              </w:rPr>
              <w:t>broncoaspiração</w:t>
            </w:r>
            <w:proofErr w:type="spellEnd"/>
            <w:r w:rsidRPr="006D3E2D">
              <w:rPr>
                <w:rFonts w:ascii="Arial" w:eastAsia="Times New Roman" w:hAnsi="Arial" w:cs="Arial"/>
                <w:sz w:val="20"/>
                <w:szCs w:val="20"/>
                <w:lang w:eastAsia="pt-BR"/>
              </w:rPr>
              <w:t>, lesões na pele, entre</w:t>
            </w:r>
            <w:proofErr w:type="gramStart"/>
            <w:r w:rsidRPr="006D3E2D">
              <w:rPr>
                <w:rFonts w:ascii="Arial" w:eastAsia="Times New Roman" w:hAnsi="Arial" w:cs="Arial"/>
                <w:sz w:val="20"/>
                <w:szCs w:val="20"/>
                <w:lang w:eastAsia="pt-BR"/>
              </w:rPr>
              <w:t xml:space="preserve">  </w:t>
            </w:r>
            <w:proofErr w:type="gramEnd"/>
            <w:r w:rsidRPr="006D3E2D">
              <w:rPr>
                <w:rFonts w:ascii="Arial" w:eastAsia="Times New Roman" w:hAnsi="Arial" w:cs="Arial"/>
                <w:sz w:val="20"/>
                <w:szCs w:val="20"/>
                <w:lang w:eastAsia="pt-BR"/>
              </w:rPr>
              <w:t>outros.</w:t>
            </w:r>
          </w:p>
        </w:tc>
        <w:tc>
          <w:tcPr>
            <w:tcW w:w="4819" w:type="dxa"/>
            <w:tcBorders>
              <w:top w:val="single" w:sz="4" w:space="0" w:color="auto"/>
              <w:left w:val="nil"/>
              <w:bottom w:val="single" w:sz="4" w:space="0" w:color="auto"/>
              <w:right w:val="single" w:sz="4" w:space="0" w:color="auto"/>
            </w:tcBorders>
            <w:shd w:val="clear" w:color="FFFFFF" w:fill="FFFFFF"/>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Política de Qualidade e Segurança quanto às diretrizes de notificação; </w:t>
            </w:r>
            <w:r w:rsidRPr="006D3E2D">
              <w:rPr>
                <w:rFonts w:ascii="Arial" w:eastAsia="Times New Roman" w:hAnsi="Arial" w:cs="Arial"/>
                <w:sz w:val="20"/>
                <w:szCs w:val="20"/>
                <w:lang w:eastAsia="pt-BR"/>
              </w:rPr>
              <w:br/>
              <w:t xml:space="preserve">Verificação dos registros internos estão condizentes com a referida Política; </w:t>
            </w:r>
            <w:r w:rsidRPr="006D3E2D">
              <w:rPr>
                <w:rFonts w:ascii="Arial" w:eastAsia="Times New Roman" w:hAnsi="Arial" w:cs="Arial"/>
                <w:sz w:val="20"/>
                <w:szCs w:val="20"/>
                <w:lang w:eastAsia="pt-BR"/>
              </w:rPr>
              <w:br/>
              <w:t xml:space="preserve">Verificação das notificações de eventos graves; Avaliação da pertinência da notificação aos órgãos competentes (tais como ANVISA e ONA); Entrevistas à equipe multiprofissional para avaliar entendimento sobre os canais de notificação e importância da mesma para a melhoria do processo; </w:t>
            </w:r>
          </w:p>
        </w:tc>
        <w:tc>
          <w:tcPr>
            <w:tcW w:w="4858" w:type="dxa"/>
            <w:tcBorders>
              <w:top w:val="single" w:sz="4" w:space="0" w:color="auto"/>
              <w:left w:val="nil"/>
              <w:bottom w:val="single" w:sz="4" w:space="0" w:color="000000"/>
              <w:right w:val="single" w:sz="4" w:space="0" w:color="000000"/>
            </w:tcBorders>
            <w:shd w:val="clear" w:color="auto" w:fill="auto"/>
            <w:noWrap/>
            <w:hideMark/>
          </w:tcPr>
          <w:p w:rsidR="007A3C4B" w:rsidRPr="006D3E2D" w:rsidRDefault="007A3C4B" w:rsidP="00574EA9">
            <w:pPr>
              <w:pStyle w:val="PargrafodaLista"/>
              <w:spacing w:after="0" w:line="240" w:lineRule="auto"/>
              <w:ind w:left="72"/>
              <w:jc w:val="both"/>
              <w:rPr>
                <w:rFonts w:ascii="Arial" w:eastAsia="Times New Roman" w:hAnsi="Arial" w:cs="Arial"/>
                <w:color w:val="000000"/>
                <w:sz w:val="20"/>
                <w:szCs w:val="20"/>
                <w:lang w:eastAsia="pt-BR"/>
              </w:rPr>
            </w:pPr>
          </w:p>
        </w:tc>
      </w:tr>
      <w:tr w:rsidR="007A3C4B" w:rsidRPr="006D3E2D" w:rsidTr="00BA7EAA">
        <w:trPr>
          <w:trHeight w:val="227"/>
        </w:trPr>
        <w:tc>
          <w:tcPr>
            <w:tcW w:w="510" w:type="dxa"/>
            <w:tcBorders>
              <w:top w:val="nil"/>
              <w:left w:val="single" w:sz="4" w:space="0" w:color="000000"/>
              <w:bottom w:val="single" w:sz="4" w:space="0" w:color="000000"/>
              <w:right w:val="single" w:sz="4" w:space="0" w:color="000000"/>
            </w:tcBorders>
            <w:shd w:val="clear" w:color="008080" w:fill="008080"/>
            <w:vAlign w:val="center"/>
            <w:hideMark/>
          </w:tcPr>
          <w:p w:rsidR="007A3C4B" w:rsidRPr="006D3E2D" w:rsidRDefault="007A3C4B"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t>34</w:t>
            </w:r>
          </w:p>
        </w:tc>
        <w:tc>
          <w:tcPr>
            <w:tcW w:w="2326" w:type="dxa"/>
            <w:tcBorders>
              <w:top w:val="nil"/>
              <w:left w:val="nil"/>
              <w:bottom w:val="single" w:sz="4" w:space="0" w:color="auto"/>
              <w:right w:val="single" w:sz="4" w:space="0" w:color="auto"/>
            </w:tcBorders>
            <w:shd w:val="clear" w:color="auto" w:fill="auto"/>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Cumpre as diretrizes de notificação de </w:t>
            </w:r>
            <w:proofErr w:type="spellStart"/>
            <w:r w:rsidRPr="006D3E2D">
              <w:rPr>
                <w:rFonts w:ascii="Arial" w:eastAsia="Times New Roman" w:hAnsi="Arial" w:cs="Arial"/>
                <w:sz w:val="20"/>
                <w:szCs w:val="20"/>
                <w:lang w:eastAsia="pt-BR"/>
              </w:rPr>
              <w:t>hemovigilância</w:t>
            </w:r>
            <w:proofErr w:type="spellEnd"/>
            <w:r w:rsidRPr="006D3E2D">
              <w:rPr>
                <w:rFonts w:ascii="Arial" w:eastAsia="Times New Roman" w:hAnsi="Arial" w:cs="Arial"/>
                <w:sz w:val="20"/>
                <w:szCs w:val="20"/>
                <w:lang w:eastAsia="pt-BR"/>
              </w:rPr>
              <w:t xml:space="preserve">, </w:t>
            </w:r>
            <w:proofErr w:type="spellStart"/>
            <w:r w:rsidRPr="006D3E2D">
              <w:rPr>
                <w:rFonts w:ascii="Arial" w:eastAsia="Times New Roman" w:hAnsi="Arial" w:cs="Arial"/>
                <w:sz w:val="20"/>
                <w:szCs w:val="20"/>
                <w:lang w:eastAsia="pt-BR"/>
              </w:rPr>
              <w:t>farmacovigilância</w:t>
            </w:r>
            <w:proofErr w:type="spellEnd"/>
            <w:r w:rsidRPr="006D3E2D">
              <w:rPr>
                <w:rFonts w:ascii="Arial" w:eastAsia="Times New Roman" w:hAnsi="Arial" w:cs="Arial"/>
                <w:sz w:val="20"/>
                <w:szCs w:val="20"/>
                <w:lang w:eastAsia="pt-BR"/>
              </w:rPr>
              <w:t xml:space="preserve"> e </w:t>
            </w:r>
            <w:proofErr w:type="spellStart"/>
            <w:r w:rsidRPr="006D3E2D">
              <w:rPr>
                <w:rFonts w:ascii="Arial" w:eastAsia="Times New Roman" w:hAnsi="Arial" w:cs="Arial"/>
                <w:sz w:val="20"/>
                <w:szCs w:val="20"/>
                <w:lang w:eastAsia="pt-BR"/>
              </w:rPr>
              <w:t>tecnovigilância</w:t>
            </w:r>
            <w:proofErr w:type="spellEnd"/>
            <w:r w:rsidRPr="006D3E2D">
              <w:rPr>
                <w:rFonts w:ascii="Arial" w:eastAsia="Times New Roman" w:hAnsi="Arial" w:cs="Arial"/>
                <w:sz w:val="20"/>
                <w:szCs w:val="20"/>
                <w:lang w:eastAsia="pt-BR"/>
              </w:rPr>
              <w:t>.</w:t>
            </w:r>
          </w:p>
        </w:tc>
        <w:tc>
          <w:tcPr>
            <w:tcW w:w="3969" w:type="dxa"/>
            <w:tcBorders>
              <w:top w:val="nil"/>
              <w:left w:val="nil"/>
              <w:bottom w:val="single" w:sz="4" w:space="0" w:color="auto"/>
              <w:right w:val="single" w:sz="4" w:space="0" w:color="auto"/>
            </w:tcBorders>
            <w:shd w:val="clear" w:color="auto" w:fill="auto"/>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A instituição estabelece um processo para notificações internas e para a Agência Nacional de Vigilância Sanitária</w:t>
            </w:r>
            <w:r w:rsidRPr="006D3E2D">
              <w:rPr>
                <w:rFonts w:ascii="Arial" w:eastAsia="Times New Roman" w:hAnsi="Arial" w:cs="Arial"/>
                <w:b/>
                <w:bCs/>
                <w:sz w:val="20"/>
                <w:szCs w:val="20"/>
                <w:lang w:eastAsia="pt-BR"/>
              </w:rPr>
              <w:t xml:space="preserve"> </w:t>
            </w:r>
            <w:r w:rsidRPr="006D3E2D">
              <w:rPr>
                <w:rFonts w:ascii="Arial" w:eastAsia="Times New Roman" w:hAnsi="Arial" w:cs="Arial"/>
                <w:sz w:val="20"/>
                <w:szCs w:val="20"/>
                <w:lang w:eastAsia="pt-BR"/>
              </w:rPr>
              <w:t xml:space="preserve">(através do NOTIVISA) de eventos de </w:t>
            </w:r>
            <w:proofErr w:type="spellStart"/>
            <w:r w:rsidRPr="006D3E2D">
              <w:rPr>
                <w:rFonts w:ascii="Arial" w:eastAsia="Times New Roman" w:hAnsi="Arial" w:cs="Arial"/>
                <w:sz w:val="20"/>
                <w:szCs w:val="20"/>
                <w:lang w:eastAsia="pt-BR"/>
              </w:rPr>
              <w:t>farmacovigilância</w:t>
            </w:r>
            <w:proofErr w:type="spellEnd"/>
            <w:r w:rsidRPr="006D3E2D">
              <w:rPr>
                <w:rFonts w:ascii="Arial" w:eastAsia="Times New Roman" w:hAnsi="Arial" w:cs="Arial"/>
                <w:sz w:val="20"/>
                <w:szCs w:val="20"/>
                <w:lang w:eastAsia="pt-BR"/>
              </w:rPr>
              <w:t xml:space="preserve"> e </w:t>
            </w:r>
            <w:proofErr w:type="spellStart"/>
            <w:r w:rsidRPr="006D3E2D">
              <w:rPr>
                <w:rFonts w:ascii="Arial" w:eastAsia="Times New Roman" w:hAnsi="Arial" w:cs="Arial"/>
                <w:sz w:val="20"/>
                <w:szCs w:val="20"/>
                <w:lang w:eastAsia="pt-BR"/>
              </w:rPr>
              <w:t>tecnovigilância</w:t>
            </w:r>
            <w:proofErr w:type="spellEnd"/>
            <w:r w:rsidRPr="006D3E2D">
              <w:rPr>
                <w:rFonts w:ascii="Arial" w:eastAsia="Times New Roman" w:hAnsi="Arial" w:cs="Arial"/>
                <w:sz w:val="20"/>
                <w:szCs w:val="20"/>
                <w:lang w:eastAsia="pt-BR"/>
              </w:rPr>
              <w:t xml:space="preserve">. Monitora o cumprimento das diretrizes, como o tempo entre a ocorrência do evento e notificação, prazos para análises e planos de ações. Para instituições que realizam </w:t>
            </w:r>
            <w:proofErr w:type="spellStart"/>
            <w:r w:rsidRPr="006D3E2D">
              <w:rPr>
                <w:rFonts w:ascii="Arial" w:eastAsia="Times New Roman" w:hAnsi="Arial" w:cs="Arial"/>
                <w:sz w:val="20"/>
                <w:szCs w:val="20"/>
                <w:lang w:eastAsia="pt-BR"/>
              </w:rPr>
              <w:t>hemotransfusões</w:t>
            </w:r>
            <w:proofErr w:type="spellEnd"/>
            <w:r w:rsidRPr="006D3E2D">
              <w:rPr>
                <w:rFonts w:ascii="Arial" w:eastAsia="Times New Roman" w:hAnsi="Arial" w:cs="Arial"/>
                <w:sz w:val="20"/>
                <w:szCs w:val="20"/>
                <w:lang w:eastAsia="pt-BR"/>
              </w:rPr>
              <w:t>, há protocolos bem definidos de indicação e monitoramento dos pacientes.</w:t>
            </w:r>
          </w:p>
        </w:tc>
        <w:tc>
          <w:tcPr>
            <w:tcW w:w="4819" w:type="dxa"/>
            <w:tcBorders>
              <w:top w:val="nil"/>
              <w:left w:val="nil"/>
              <w:bottom w:val="single" w:sz="4" w:space="0" w:color="auto"/>
              <w:right w:val="single" w:sz="4" w:space="0" w:color="auto"/>
            </w:tcBorders>
            <w:shd w:val="clear" w:color="auto" w:fill="auto"/>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Avaliação das notificações de eventos de </w:t>
            </w:r>
            <w:proofErr w:type="spellStart"/>
            <w:r w:rsidRPr="006D3E2D">
              <w:rPr>
                <w:rFonts w:ascii="Arial" w:eastAsia="Times New Roman" w:hAnsi="Arial" w:cs="Arial"/>
                <w:sz w:val="20"/>
                <w:szCs w:val="20"/>
                <w:lang w:eastAsia="pt-BR"/>
              </w:rPr>
              <w:t>farmacovigilância</w:t>
            </w:r>
            <w:proofErr w:type="spellEnd"/>
            <w:r w:rsidRPr="006D3E2D">
              <w:rPr>
                <w:rFonts w:ascii="Arial" w:eastAsia="Times New Roman" w:hAnsi="Arial" w:cs="Arial"/>
                <w:sz w:val="20"/>
                <w:szCs w:val="20"/>
                <w:lang w:eastAsia="pt-BR"/>
              </w:rPr>
              <w:t xml:space="preserve">, </w:t>
            </w:r>
            <w:proofErr w:type="spellStart"/>
            <w:r w:rsidRPr="006D3E2D">
              <w:rPr>
                <w:rFonts w:ascii="Arial" w:eastAsia="Times New Roman" w:hAnsi="Arial" w:cs="Arial"/>
                <w:sz w:val="20"/>
                <w:szCs w:val="20"/>
                <w:lang w:eastAsia="pt-BR"/>
              </w:rPr>
              <w:t>tecnovigilância</w:t>
            </w:r>
            <w:proofErr w:type="spellEnd"/>
            <w:r w:rsidRPr="006D3E2D">
              <w:rPr>
                <w:rFonts w:ascii="Arial" w:eastAsia="Times New Roman" w:hAnsi="Arial" w:cs="Arial"/>
                <w:sz w:val="20"/>
                <w:szCs w:val="20"/>
                <w:lang w:eastAsia="pt-BR"/>
              </w:rPr>
              <w:t xml:space="preserve"> e </w:t>
            </w:r>
            <w:proofErr w:type="spellStart"/>
            <w:r w:rsidRPr="006D3E2D">
              <w:rPr>
                <w:rFonts w:ascii="Arial" w:eastAsia="Times New Roman" w:hAnsi="Arial" w:cs="Arial"/>
                <w:sz w:val="20"/>
                <w:szCs w:val="20"/>
                <w:lang w:eastAsia="pt-BR"/>
              </w:rPr>
              <w:t>hemovigilância</w:t>
            </w:r>
            <w:proofErr w:type="spellEnd"/>
            <w:r w:rsidRPr="006D3E2D">
              <w:rPr>
                <w:rFonts w:ascii="Arial" w:eastAsia="Times New Roman" w:hAnsi="Arial" w:cs="Arial"/>
                <w:sz w:val="20"/>
                <w:szCs w:val="20"/>
                <w:lang w:eastAsia="pt-BR"/>
              </w:rPr>
              <w:t xml:space="preserve">, comparando-os com o processo estabelecido; Avaliação do conhecimento da equipe multiprofissional sobre o processo de notificação de reações adversas a medicamentos, reações </w:t>
            </w:r>
            <w:proofErr w:type="spellStart"/>
            <w:r w:rsidRPr="006D3E2D">
              <w:rPr>
                <w:rFonts w:ascii="Arial" w:eastAsia="Times New Roman" w:hAnsi="Arial" w:cs="Arial"/>
                <w:sz w:val="20"/>
                <w:szCs w:val="20"/>
                <w:lang w:eastAsia="pt-BR"/>
              </w:rPr>
              <w:t>transfusionais</w:t>
            </w:r>
            <w:proofErr w:type="spellEnd"/>
            <w:r w:rsidRPr="006D3E2D">
              <w:rPr>
                <w:rFonts w:ascii="Arial" w:eastAsia="Times New Roman" w:hAnsi="Arial" w:cs="Arial"/>
                <w:sz w:val="20"/>
                <w:szCs w:val="20"/>
                <w:lang w:eastAsia="pt-BR"/>
              </w:rPr>
              <w:t xml:space="preserve"> e queixas técnicas de medicamentos, materiais e equipamento médicos; Rastreio de alguma notificação para entender o cumprimento das diretrizes.</w:t>
            </w:r>
          </w:p>
        </w:tc>
        <w:tc>
          <w:tcPr>
            <w:tcW w:w="4858" w:type="dxa"/>
            <w:tcBorders>
              <w:top w:val="nil"/>
              <w:left w:val="nil"/>
              <w:bottom w:val="single" w:sz="4" w:space="0" w:color="000000"/>
              <w:right w:val="single" w:sz="4" w:space="0" w:color="000000"/>
            </w:tcBorders>
            <w:shd w:val="clear" w:color="auto" w:fill="auto"/>
            <w:noWrap/>
            <w:hideMark/>
          </w:tcPr>
          <w:p w:rsidR="000C4A70" w:rsidRPr="006D3E2D" w:rsidRDefault="000C4A70" w:rsidP="00574EA9">
            <w:pPr>
              <w:pStyle w:val="PargrafodaLista"/>
              <w:spacing w:after="0" w:line="240" w:lineRule="auto"/>
              <w:ind w:left="72"/>
              <w:jc w:val="both"/>
              <w:rPr>
                <w:rFonts w:ascii="Arial" w:eastAsia="Times New Roman" w:hAnsi="Arial" w:cs="Arial"/>
                <w:sz w:val="20"/>
                <w:szCs w:val="20"/>
                <w:lang w:eastAsia="pt-BR"/>
              </w:rPr>
            </w:pPr>
          </w:p>
        </w:tc>
      </w:tr>
      <w:tr w:rsidR="007A3C4B" w:rsidRPr="006D3E2D" w:rsidTr="00DD2A55">
        <w:trPr>
          <w:trHeight w:val="227"/>
        </w:trPr>
        <w:tc>
          <w:tcPr>
            <w:tcW w:w="510" w:type="dxa"/>
            <w:tcBorders>
              <w:top w:val="nil"/>
              <w:left w:val="single" w:sz="4" w:space="0" w:color="000000"/>
              <w:bottom w:val="single" w:sz="4" w:space="0" w:color="000000"/>
              <w:right w:val="single" w:sz="4" w:space="0" w:color="000000"/>
            </w:tcBorders>
            <w:shd w:val="clear" w:color="008080" w:fill="008080"/>
            <w:vAlign w:val="center"/>
            <w:hideMark/>
          </w:tcPr>
          <w:p w:rsidR="007A3C4B" w:rsidRPr="006D3E2D" w:rsidRDefault="007A3C4B"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t>35</w:t>
            </w:r>
          </w:p>
        </w:tc>
        <w:tc>
          <w:tcPr>
            <w:tcW w:w="2326" w:type="dxa"/>
            <w:tcBorders>
              <w:top w:val="nil"/>
              <w:left w:val="nil"/>
              <w:bottom w:val="single" w:sz="4" w:space="0" w:color="auto"/>
              <w:right w:val="single" w:sz="4" w:space="0" w:color="auto"/>
            </w:tcBorders>
            <w:shd w:val="clear" w:color="auto" w:fill="auto"/>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Dispõe de plano de alta multidisciplinar de conhecimento do paciente/cliente/responsável legal para a continuidade do cuidado.</w:t>
            </w:r>
          </w:p>
        </w:tc>
        <w:tc>
          <w:tcPr>
            <w:tcW w:w="3969" w:type="dxa"/>
            <w:tcBorders>
              <w:top w:val="nil"/>
              <w:left w:val="nil"/>
              <w:bottom w:val="single" w:sz="4" w:space="0" w:color="auto"/>
              <w:right w:val="single" w:sz="4" w:space="0" w:color="auto"/>
            </w:tcBorders>
            <w:shd w:val="clear" w:color="auto" w:fill="auto"/>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O plano de alta multidisciplinar possibilita a comunicação/ orientação entre a equipe assistencial com o paciente / familiar sobre os cuidados para continuidade do tratamento no domicílio/unidade de referência.</w:t>
            </w:r>
          </w:p>
        </w:tc>
        <w:tc>
          <w:tcPr>
            <w:tcW w:w="4819" w:type="dxa"/>
            <w:tcBorders>
              <w:top w:val="nil"/>
              <w:left w:val="nil"/>
              <w:bottom w:val="single" w:sz="4" w:space="0" w:color="auto"/>
              <w:right w:val="single" w:sz="4" w:space="0" w:color="auto"/>
            </w:tcBorders>
            <w:shd w:val="clear" w:color="auto" w:fill="auto"/>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Definição de critérios para planejamento de alta multidisciplinar considerando orientação aos pacientes/ família e comunicação com as unidades assistenciais/ instituições de referência responsáveis pela continuidade do cuidado; Entrevistas à equipe assistencial e paciente/ familiar sobre a aplicação do plano de alta; </w:t>
            </w:r>
            <w:r w:rsidRPr="006D3E2D">
              <w:rPr>
                <w:rFonts w:ascii="Arial" w:eastAsia="Times New Roman" w:hAnsi="Arial" w:cs="Arial"/>
                <w:sz w:val="20"/>
                <w:szCs w:val="20"/>
                <w:lang w:eastAsia="pt-BR"/>
              </w:rPr>
              <w:br/>
              <w:t>Avaliação do prontuário os registros de um processo de planejamento de alta multidisciplinar, incluindo o registro de educação ao paciente/familiar e a entrega de materiais de apoio (como folders). Verificação se é disponibilizada orientação com o plano definido ao paciente.</w:t>
            </w:r>
          </w:p>
        </w:tc>
        <w:tc>
          <w:tcPr>
            <w:tcW w:w="4858" w:type="dxa"/>
            <w:tcBorders>
              <w:top w:val="nil"/>
              <w:left w:val="nil"/>
              <w:bottom w:val="single" w:sz="4" w:space="0" w:color="000000"/>
              <w:right w:val="single" w:sz="4" w:space="0" w:color="000000"/>
            </w:tcBorders>
            <w:shd w:val="clear" w:color="auto" w:fill="auto"/>
            <w:noWrap/>
          </w:tcPr>
          <w:p w:rsidR="002F1D6E" w:rsidRPr="006D3E2D" w:rsidRDefault="002F1D6E" w:rsidP="00574EA9">
            <w:pPr>
              <w:pStyle w:val="PargrafodaLista"/>
              <w:spacing w:after="0" w:line="240" w:lineRule="auto"/>
              <w:ind w:left="72"/>
              <w:rPr>
                <w:rFonts w:ascii="Arial" w:eastAsia="Times New Roman" w:hAnsi="Arial" w:cs="Arial"/>
                <w:sz w:val="20"/>
                <w:szCs w:val="20"/>
                <w:lang w:eastAsia="pt-BR"/>
              </w:rPr>
            </w:pPr>
          </w:p>
        </w:tc>
      </w:tr>
      <w:tr w:rsidR="007A3C4B" w:rsidRPr="006D3E2D" w:rsidTr="002F1D6E">
        <w:trPr>
          <w:trHeight w:val="227"/>
        </w:trPr>
        <w:tc>
          <w:tcPr>
            <w:tcW w:w="510" w:type="dxa"/>
            <w:tcBorders>
              <w:top w:val="nil"/>
              <w:left w:val="single" w:sz="4" w:space="0" w:color="000000"/>
              <w:bottom w:val="single" w:sz="4" w:space="0" w:color="000000"/>
              <w:right w:val="single" w:sz="4" w:space="0" w:color="000000"/>
            </w:tcBorders>
            <w:shd w:val="clear" w:color="008080" w:fill="008080"/>
            <w:vAlign w:val="center"/>
            <w:hideMark/>
          </w:tcPr>
          <w:p w:rsidR="007A3C4B" w:rsidRPr="006D3E2D" w:rsidRDefault="007A3C4B"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t>36</w:t>
            </w:r>
          </w:p>
        </w:tc>
        <w:tc>
          <w:tcPr>
            <w:tcW w:w="2326" w:type="dxa"/>
            <w:tcBorders>
              <w:top w:val="nil"/>
              <w:left w:val="nil"/>
              <w:bottom w:val="single" w:sz="4" w:space="0" w:color="auto"/>
              <w:right w:val="single" w:sz="4" w:space="0" w:color="auto"/>
            </w:tcBorders>
            <w:shd w:val="clear" w:color="auto" w:fill="auto"/>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Estabelece e </w:t>
            </w:r>
            <w:r w:rsidRPr="006D3E2D">
              <w:rPr>
                <w:rFonts w:ascii="Arial" w:eastAsia="Times New Roman" w:hAnsi="Arial" w:cs="Arial"/>
                <w:sz w:val="20"/>
                <w:szCs w:val="20"/>
                <w:lang w:eastAsia="pt-BR"/>
              </w:rPr>
              <w:lastRenderedPageBreak/>
              <w:t>acompanha o plano interdisciplinar da assistência, com base no plano terapêutico definido.</w:t>
            </w:r>
          </w:p>
        </w:tc>
        <w:tc>
          <w:tcPr>
            <w:tcW w:w="3969" w:type="dxa"/>
            <w:tcBorders>
              <w:top w:val="nil"/>
              <w:left w:val="nil"/>
              <w:bottom w:val="single" w:sz="4" w:space="0" w:color="auto"/>
              <w:right w:val="single" w:sz="4" w:space="0" w:color="auto"/>
            </w:tcBorders>
            <w:shd w:val="clear" w:color="auto" w:fill="auto"/>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lastRenderedPageBreak/>
              <w:t xml:space="preserve">Metodologia estabelecida para definição, </w:t>
            </w:r>
            <w:r w:rsidRPr="006D3E2D">
              <w:rPr>
                <w:rFonts w:ascii="Arial" w:eastAsia="Times New Roman" w:hAnsi="Arial" w:cs="Arial"/>
                <w:sz w:val="20"/>
                <w:szCs w:val="20"/>
                <w:lang w:eastAsia="pt-BR"/>
              </w:rPr>
              <w:lastRenderedPageBreak/>
              <w:t>desdobramento e monitoramento de plano terapêutico pela equipe multidisciplinar. Projeto Terapêutico. Formalizar no prontuário para continuidade do cuidado</w:t>
            </w:r>
          </w:p>
        </w:tc>
        <w:tc>
          <w:tcPr>
            <w:tcW w:w="4819" w:type="dxa"/>
            <w:tcBorders>
              <w:top w:val="nil"/>
              <w:left w:val="nil"/>
              <w:bottom w:val="single" w:sz="4" w:space="0" w:color="auto"/>
              <w:right w:val="single" w:sz="4" w:space="0" w:color="auto"/>
            </w:tcBorders>
            <w:shd w:val="clear" w:color="auto" w:fill="auto"/>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lastRenderedPageBreak/>
              <w:t xml:space="preserve">Avaliação das diretrizes estabelecidas para </w:t>
            </w:r>
            <w:r w:rsidRPr="006D3E2D">
              <w:rPr>
                <w:rFonts w:ascii="Arial" w:eastAsia="Times New Roman" w:hAnsi="Arial" w:cs="Arial"/>
                <w:sz w:val="20"/>
                <w:szCs w:val="20"/>
                <w:lang w:eastAsia="pt-BR"/>
              </w:rPr>
              <w:lastRenderedPageBreak/>
              <w:t>definição de plano terapêutico individualizado e monitoramento da adesão pela equipe multidisciplinar. Entrevista com a equipe multidisciplinar para avaliação do entendimento sobre as diretrizes estabelecidas. Avaliação de prontuários. Avaliação do monitoramento da adesão às diretrizes pela equipe multidisciplinar e ações estabelecidas para melhoria do processo assistencial.</w:t>
            </w:r>
          </w:p>
        </w:tc>
        <w:tc>
          <w:tcPr>
            <w:tcW w:w="4858" w:type="dxa"/>
            <w:tcBorders>
              <w:top w:val="nil"/>
              <w:left w:val="nil"/>
              <w:bottom w:val="single" w:sz="4" w:space="0" w:color="000000"/>
              <w:right w:val="single" w:sz="4" w:space="0" w:color="000000"/>
            </w:tcBorders>
            <w:shd w:val="clear" w:color="auto" w:fill="auto"/>
            <w:noWrap/>
          </w:tcPr>
          <w:p w:rsidR="007A3C4B" w:rsidRPr="00ED3AA4" w:rsidRDefault="007A3C4B" w:rsidP="00574EA9">
            <w:pPr>
              <w:autoSpaceDE w:val="0"/>
              <w:autoSpaceDN w:val="0"/>
              <w:adjustRightInd w:val="0"/>
              <w:spacing w:after="0" w:line="240" w:lineRule="auto"/>
              <w:jc w:val="center"/>
              <w:rPr>
                <w:rFonts w:ascii="Arial" w:eastAsia="Times New Roman" w:hAnsi="Arial" w:cs="Arial"/>
                <w:color w:val="000000"/>
                <w:sz w:val="20"/>
                <w:szCs w:val="20"/>
                <w:lang w:eastAsia="pt-BR"/>
              </w:rPr>
            </w:pPr>
          </w:p>
        </w:tc>
      </w:tr>
      <w:tr w:rsidR="007A3C4B" w:rsidRPr="006D3E2D" w:rsidTr="00BA7EAA">
        <w:trPr>
          <w:trHeight w:val="227"/>
        </w:trPr>
        <w:tc>
          <w:tcPr>
            <w:tcW w:w="510" w:type="dxa"/>
            <w:tcBorders>
              <w:top w:val="nil"/>
              <w:left w:val="single" w:sz="4" w:space="0" w:color="000000"/>
              <w:bottom w:val="single" w:sz="4" w:space="0" w:color="000000"/>
              <w:right w:val="single" w:sz="4" w:space="0" w:color="000000"/>
            </w:tcBorders>
            <w:shd w:val="clear" w:color="008080" w:fill="008080"/>
            <w:vAlign w:val="center"/>
            <w:hideMark/>
          </w:tcPr>
          <w:p w:rsidR="007A3C4B" w:rsidRPr="006D3E2D" w:rsidRDefault="007A3C4B" w:rsidP="00F01DE9">
            <w:pPr>
              <w:spacing w:after="0" w:line="240" w:lineRule="auto"/>
              <w:jc w:val="center"/>
              <w:rPr>
                <w:rFonts w:ascii="Arial" w:eastAsia="Times New Roman" w:hAnsi="Arial" w:cs="Arial"/>
                <w:b/>
                <w:bCs/>
                <w:color w:val="FFFFFF"/>
                <w:sz w:val="20"/>
                <w:szCs w:val="20"/>
                <w:lang w:eastAsia="pt-BR"/>
              </w:rPr>
            </w:pPr>
            <w:r w:rsidRPr="006D3E2D">
              <w:rPr>
                <w:rFonts w:ascii="Arial" w:eastAsia="Times New Roman" w:hAnsi="Arial" w:cs="Arial"/>
                <w:b/>
                <w:bCs/>
                <w:color w:val="FFFFFF"/>
                <w:sz w:val="20"/>
                <w:szCs w:val="20"/>
                <w:lang w:eastAsia="pt-BR"/>
              </w:rPr>
              <w:lastRenderedPageBreak/>
              <w:t>37</w:t>
            </w:r>
          </w:p>
        </w:tc>
        <w:tc>
          <w:tcPr>
            <w:tcW w:w="2326" w:type="dxa"/>
            <w:tcBorders>
              <w:top w:val="nil"/>
              <w:left w:val="nil"/>
              <w:bottom w:val="single" w:sz="4" w:space="0" w:color="auto"/>
              <w:right w:val="single" w:sz="4" w:space="0" w:color="auto"/>
            </w:tcBorders>
            <w:shd w:val="clear" w:color="auto" w:fill="auto"/>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Estabelece protocolo de identificação, prevenção e acompanhamento de risco para suicídio/auto extermínio, alinhada a diretriz institucional </w:t>
            </w:r>
          </w:p>
        </w:tc>
        <w:tc>
          <w:tcPr>
            <w:tcW w:w="3969" w:type="dxa"/>
            <w:tcBorders>
              <w:top w:val="nil"/>
              <w:left w:val="nil"/>
              <w:bottom w:val="single" w:sz="4" w:space="0" w:color="auto"/>
              <w:right w:val="single" w:sz="4" w:space="0" w:color="auto"/>
            </w:tcBorders>
            <w:shd w:val="clear" w:color="auto" w:fill="auto"/>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Protocolo descrito e formalizado com as determinações de como a Organização/profissionais devem agir diante destas situações, considerando o papel e a responsabilidade de cada membro da Equipe, e as interfaces com as partes interessadas.  </w:t>
            </w:r>
          </w:p>
        </w:tc>
        <w:tc>
          <w:tcPr>
            <w:tcW w:w="4819" w:type="dxa"/>
            <w:tcBorders>
              <w:top w:val="nil"/>
              <w:left w:val="nil"/>
              <w:bottom w:val="single" w:sz="4" w:space="0" w:color="auto"/>
              <w:right w:val="single" w:sz="4" w:space="0" w:color="auto"/>
            </w:tcBorders>
            <w:shd w:val="clear" w:color="auto" w:fill="auto"/>
            <w:hideMark/>
          </w:tcPr>
          <w:p w:rsidR="007A3C4B" w:rsidRPr="006D3E2D" w:rsidRDefault="007A3C4B" w:rsidP="00F01DE9">
            <w:pPr>
              <w:spacing w:after="0" w:line="240" w:lineRule="auto"/>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Protocolo de identificação, prevenção e acompanhamento de risco para suicídio, disseminado para toda a Organização. </w:t>
            </w:r>
          </w:p>
        </w:tc>
        <w:tc>
          <w:tcPr>
            <w:tcW w:w="4858" w:type="dxa"/>
            <w:tcBorders>
              <w:top w:val="nil"/>
              <w:left w:val="nil"/>
              <w:bottom w:val="single" w:sz="4" w:space="0" w:color="000000"/>
              <w:right w:val="single" w:sz="4" w:space="0" w:color="000000"/>
            </w:tcBorders>
            <w:shd w:val="clear" w:color="auto" w:fill="auto"/>
            <w:noWrap/>
            <w:vAlign w:val="center"/>
          </w:tcPr>
          <w:p w:rsidR="007A3C4B" w:rsidRPr="006D3E2D" w:rsidRDefault="007A3C4B" w:rsidP="00574EA9">
            <w:pPr>
              <w:pStyle w:val="PargrafodaLista"/>
              <w:tabs>
                <w:tab w:val="left" w:pos="355"/>
              </w:tabs>
              <w:spacing w:after="0" w:line="240" w:lineRule="auto"/>
              <w:ind w:left="72"/>
              <w:jc w:val="both"/>
              <w:rPr>
                <w:rFonts w:ascii="Arial" w:eastAsia="Times New Roman" w:hAnsi="Arial" w:cs="Arial"/>
                <w:sz w:val="20"/>
                <w:szCs w:val="20"/>
                <w:lang w:eastAsia="pt-BR"/>
              </w:rPr>
            </w:pPr>
            <w:r w:rsidRPr="006D3E2D">
              <w:rPr>
                <w:rFonts w:ascii="Arial" w:eastAsia="Times New Roman" w:hAnsi="Arial" w:cs="Arial"/>
                <w:sz w:val="20"/>
                <w:szCs w:val="20"/>
                <w:lang w:eastAsia="pt-BR"/>
              </w:rPr>
              <w:t xml:space="preserve"> </w:t>
            </w:r>
          </w:p>
        </w:tc>
      </w:tr>
    </w:tbl>
    <w:p w:rsidR="00F01DE9" w:rsidRDefault="00F01DE9" w:rsidP="00F01DE9">
      <w:pPr>
        <w:spacing w:after="0"/>
      </w:pPr>
    </w:p>
    <w:p w:rsidR="006D3E2D" w:rsidRDefault="006D3E2D" w:rsidP="00F01DE9">
      <w:pPr>
        <w:spacing w:after="0"/>
      </w:pPr>
      <w:bookmarkStart w:id="0" w:name="_GoBack"/>
      <w:bookmarkEnd w:id="0"/>
    </w:p>
    <w:sectPr w:rsidR="006D3E2D" w:rsidSect="00190943">
      <w:pgSz w:w="16838" w:h="11906" w:orient="landscape"/>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900FB"/>
    <w:multiLevelType w:val="hybridMultilevel"/>
    <w:tmpl w:val="A0FA3E1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07E22BB8"/>
    <w:multiLevelType w:val="hybridMultilevel"/>
    <w:tmpl w:val="BA0020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nsid w:val="0DC86899"/>
    <w:multiLevelType w:val="hybridMultilevel"/>
    <w:tmpl w:val="05F040C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nsid w:val="15FD4C87"/>
    <w:multiLevelType w:val="hybridMultilevel"/>
    <w:tmpl w:val="4E5C74F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nsid w:val="17543804"/>
    <w:multiLevelType w:val="hybridMultilevel"/>
    <w:tmpl w:val="3FB8DB9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nsid w:val="18147487"/>
    <w:multiLevelType w:val="hybridMultilevel"/>
    <w:tmpl w:val="504CDB7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nsid w:val="1B2472C4"/>
    <w:multiLevelType w:val="hybridMultilevel"/>
    <w:tmpl w:val="302EBCB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nsid w:val="1B816798"/>
    <w:multiLevelType w:val="hybridMultilevel"/>
    <w:tmpl w:val="ED86B89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nsid w:val="1E624FC6"/>
    <w:multiLevelType w:val="hybridMultilevel"/>
    <w:tmpl w:val="50D4594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nsid w:val="1EC367F7"/>
    <w:multiLevelType w:val="hybridMultilevel"/>
    <w:tmpl w:val="6E2E6D9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nsid w:val="28161A06"/>
    <w:multiLevelType w:val="hybridMultilevel"/>
    <w:tmpl w:val="30BE674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nsid w:val="2AD327F9"/>
    <w:multiLevelType w:val="hybridMultilevel"/>
    <w:tmpl w:val="8EACDC5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nsid w:val="2C796BE0"/>
    <w:multiLevelType w:val="hybridMultilevel"/>
    <w:tmpl w:val="8286D3C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nsid w:val="2D8E5E42"/>
    <w:multiLevelType w:val="hybridMultilevel"/>
    <w:tmpl w:val="A1387016"/>
    <w:lvl w:ilvl="0" w:tplc="0416000D">
      <w:start w:val="1"/>
      <w:numFmt w:val="bullet"/>
      <w:lvlText w:val=""/>
      <w:lvlJc w:val="left"/>
      <w:pPr>
        <w:ind w:left="792" w:hanging="360"/>
      </w:pPr>
      <w:rPr>
        <w:rFonts w:ascii="Wingdings" w:hAnsi="Wingdings" w:hint="default"/>
      </w:rPr>
    </w:lvl>
    <w:lvl w:ilvl="1" w:tplc="04160003" w:tentative="1">
      <w:start w:val="1"/>
      <w:numFmt w:val="bullet"/>
      <w:lvlText w:val="o"/>
      <w:lvlJc w:val="left"/>
      <w:pPr>
        <w:ind w:left="1512" w:hanging="360"/>
      </w:pPr>
      <w:rPr>
        <w:rFonts w:ascii="Courier New" w:hAnsi="Courier New" w:cs="Courier New" w:hint="default"/>
      </w:rPr>
    </w:lvl>
    <w:lvl w:ilvl="2" w:tplc="04160005" w:tentative="1">
      <w:start w:val="1"/>
      <w:numFmt w:val="bullet"/>
      <w:lvlText w:val=""/>
      <w:lvlJc w:val="left"/>
      <w:pPr>
        <w:ind w:left="2232" w:hanging="360"/>
      </w:pPr>
      <w:rPr>
        <w:rFonts w:ascii="Wingdings" w:hAnsi="Wingdings" w:hint="default"/>
      </w:rPr>
    </w:lvl>
    <w:lvl w:ilvl="3" w:tplc="04160001" w:tentative="1">
      <w:start w:val="1"/>
      <w:numFmt w:val="bullet"/>
      <w:lvlText w:val=""/>
      <w:lvlJc w:val="left"/>
      <w:pPr>
        <w:ind w:left="2952" w:hanging="360"/>
      </w:pPr>
      <w:rPr>
        <w:rFonts w:ascii="Symbol" w:hAnsi="Symbol" w:hint="default"/>
      </w:rPr>
    </w:lvl>
    <w:lvl w:ilvl="4" w:tplc="04160003" w:tentative="1">
      <w:start w:val="1"/>
      <w:numFmt w:val="bullet"/>
      <w:lvlText w:val="o"/>
      <w:lvlJc w:val="left"/>
      <w:pPr>
        <w:ind w:left="3672" w:hanging="360"/>
      </w:pPr>
      <w:rPr>
        <w:rFonts w:ascii="Courier New" w:hAnsi="Courier New" w:cs="Courier New" w:hint="default"/>
      </w:rPr>
    </w:lvl>
    <w:lvl w:ilvl="5" w:tplc="04160005" w:tentative="1">
      <w:start w:val="1"/>
      <w:numFmt w:val="bullet"/>
      <w:lvlText w:val=""/>
      <w:lvlJc w:val="left"/>
      <w:pPr>
        <w:ind w:left="4392" w:hanging="360"/>
      </w:pPr>
      <w:rPr>
        <w:rFonts w:ascii="Wingdings" w:hAnsi="Wingdings" w:hint="default"/>
      </w:rPr>
    </w:lvl>
    <w:lvl w:ilvl="6" w:tplc="04160001" w:tentative="1">
      <w:start w:val="1"/>
      <w:numFmt w:val="bullet"/>
      <w:lvlText w:val=""/>
      <w:lvlJc w:val="left"/>
      <w:pPr>
        <w:ind w:left="5112" w:hanging="360"/>
      </w:pPr>
      <w:rPr>
        <w:rFonts w:ascii="Symbol" w:hAnsi="Symbol" w:hint="default"/>
      </w:rPr>
    </w:lvl>
    <w:lvl w:ilvl="7" w:tplc="04160003" w:tentative="1">
      <w:start w:val="1"/>
      <w:numFmt w:val="bullet"/>
      <w:lvlText w:val="o"/>
      <w:lvlJc w:val="left"/>
      <w:pPr>
        <w:ind w:left="5832" w:hanging="360"/>
      </w:pPr>
      <w:rPr>
        <w:rFonts w:ascii="Courier New" w:hAnsi="Courier New" w:cs="Courier New" w:hint="default"/>
      </w:rPr>
    </w:lvl>
    <w:lvl w:ilvl="8" w:tplc="04160005" w:tentative="1">
      <w:start w:val="1"/>
      <w:numFmt w:val="bullet"/>
      <w:lvlText w:val=""/>
      <w:lvlJc w:val="left"/>
      <w:pPr>
        <w:ind w:left="6552" w:hanging="360"/>
      </w:pPr>
      <w:rPr>
        <w:rFonts w:ascii="Wingdings" w:hAnsi="Wingdings" w:hint="default"/>
      </w:rPr>
    </w:lvl>
  </w:abstractNum>
  <w:abstractNum w:abstractNumId="14">
    <w:nsid w:val="2F841138"/>
    <w:multiLevelType w:val="hybridMultilevel"/>
    <w:tmpl w:val="77987E2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nsid w:val="2FCC6C69"/>
    <w:multiLevelType w:val="hybridMultilevel"/>
    <w:tmpl w:val="6BB4765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nsid w:val="30084FF7"/>
    <w:multiLevelType w:val="hybridMultilevel"/>
    <w:tmpl w:val="1C2E6D3E"/>
    <w:lvl w:ilvl="0" w:tplc="7F4ADF34">
      <w:start w:val="1"/>
      <w:numFmt w:val="bullet"/>
      <w:lvlText w:val=""/>
      <w:lvlJc w:val="left"/>
      <w:pPr>
        <w:ind w:left="792" w:hanging="360"/>
      </w:pPr>
      <w:rPr>
        <w:rFonts w:ascii="Wingdings" w:hAnsi="Wingdings" w:hint="default"/>
        <w:color w:val="auto"/>
      </w:rPr>
    </w:lvl>
    <w:lvl w:ilvl="1" w:tplc="04160003" w:tentative="1">
      <w:start w:val="1"/>
      <w:numFmt w:val="bullet"/>
      <w:lvlText w:val="o"/>
      <w:lvlJc w:val="left"/>
      <w:pPr>
        <w:ind w:left="1512" w:hanging="360"/>
      </w:pPr>
      <w:rPr>
        <w:rFonts w:ascii="Courier New" w:hAnsi="Courier New" w:cs="Courier New" w:hint="default"/>
      </w:rPr>
    </w:lvl>
    <w:lvl w:ilvl="2" w:tplc="04160005" w:tentative="1">
      <w:start w:val="1"/>
      <w:numFmt w:val="bullet"/>
      <w:lvlText w:val=""/>
      <w:lvlJc w:val="left"/>
      <w:pPr>
        <w:ind w:left="2232" w:hanging="360"/>
      </w:pPr>
      <w:rPr>
        <w:rFonts w:ascii="Wingdings" w:hAnsi="Wingdings" w:hint="default"/>
      </w:rPr>
    </w:lvl>
    <w:lvl w:ilvl="3" w:tplc="04160001" w:tentative="1">
      <w:start w:val="1"/>
      <w:numFmt w:val="bullet"/>
      <w:lvlText w:val=""/>
      <w:lvlJc w:val="left"/>
      <w:pPr>
        <w:ind w:left="2952" w:hanging="360"/>
      </w:pPr>
      <w:rPr>
        <w:rFonts w:ascii="Symbol" w:hAnsi="Symbol" w:hint="default"/>
      </w:rPr>
    </w:lvl>
    <w:lvl w:ilvl="4" w:tplc="04160003" w:tentative="1">
      <w:start w:val="1"/>
      <w:numFmt w:val="bullet"/>
      <w:lvlText w:val="o"/>
      <w:lvlJc w:val="left"/>
      <w:pPr>
        <w:ind w:left="3672" w:hanging="360"/>
      </w:pPr>
      <w:rPr>
        <w:rFonts w:ascii="Courier New" w:hAnsi="Courier New" w:cs="Courier New" w:hint="default"/>
      </w:rPr>
    </w:lvl>
    <w:lvl w:ilvl="5" w:tplc="04160005" w:tentative="1">
      <w:start w:val="1"/>
      <w:numFmt w:val="bullet"/>
      <w:lvlText w:val=""/>
      <w:lvlJc w:val="left"/>
      <w:pPr>
        <w:ind w:left="4392" w:hanging="360"/>
      </w:pPr>
      <w:rPr>
        <w:rFonts w:ascii="Wingdings" w:hAnsi="Wingdings" w:hint="default"/>
      </w:rPr>
    </w:lvl>
    <w:lvl w:ilvl="6" w:tplc="04160001" w:tentative="1">
      <w:start w:val="1"/>
      <w:numFmt w:val="bullet"/>
      <w:lvlText w:val=""/>
      <w:lvlJc w:val="left"/>
      <w:pPr>
        <w:ind w:left="5112" w:hanging="360"/>
      </w:pPr>
      <w:rPr>
        <w:rFonts w:ascii="Symbol" w:hAnsi="Symbol" w:hint="default"/>
      </w:rPr>
    </w:lvl>
    <w:lvl w:ilvl="7" w:tplc="04160003" w:tentative="1">
      <w:start w:val="1"/>
      <w:numFmt w:val="bullet"/>
      <w:lvlText w:val="o"/>
      <w:lvlJc w:val="left"/>
      <w:pPr>
        <w:ind w:left="5832" w:hanging="360"/>
      </w:pPr>
      <w:rPr>
        <w:rFonts w:ascii="Courier New" w:hAnsi="Courier New" w:cs="Courier New" w:hint="default"/>
      </w:rPr>
    </w:lvl>
    <w:lvl w:ilvl="8" w:tplc="04160005" w:tentative="1">
      <w:start w:val="1"/>
      <w:numFmt w:val="bullet"/>
      <w:lvlText w:val=""/>
      <w:lvlJc w:val="left"/>
      <w:pPr>
        <w:ind w:left="6552" w:hanging="360"/>
      </w:pPr>
      <w:rPr>
        <w:rFonts w:ascii="Wingdings" w:hAnsi="Wingdings" w:hint="default"/>
      </w:rPr>
    </w:lvl>
  </w:abstractNum>
  <w:abstractNum w:abstractNumId="17">
    <w:nsid w:val="3023741F"/>
    <w:multiLevelType w:val="hybridMultilevel"/>
    <w:tmpl w:val="1608993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nsid w:val="337C5107"/>
    <w:multiLevelType w:val="hybridMultilevel"/>
    <w:tmpl w:val="93B4FAF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nsid w:val="34F61054"/>
    <w:multiLevelType w:val="hybridMultilevel"/>
    <w:tmpl w:val="4AB0C4D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nsid w:val="37421891"/>
    <w:multiLevelType w:val="hybridMultilevel"/>
    <w:tmpl w:val="6AE698B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nsid w:val="38CC22DD"/>
    <w:multiLevelType w:val="hybridMultilevel"/>
    <w:tmpl w:val="79F2DA1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nsid w:val="395E11F3"/>
    <w:multiLevelType w:val="hybridMultilevel"/>
    <w:tmpl w:val="81D0A31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nsid w:val="399E2BD0"/>
    <w:multiLevelType w:val="hybridMultilevel"/>
    <w:tmpl w:val="13B2E80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nsid w:val="3B172C47"/>
    <w:multiLevelType w:val="hybridMultilevel"/>
    <w:tmpl w:val="A06A7D0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nsid w:val="3C902928"/>
    <w:multiLevelType w:val="hybridMultilevel"/>
    <w:tmpl w:val="560A254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nsid w:val="453C4CB9"/>
    <w:multiLevelType w:val="hybridMultilevel"/>
    <w:tmpl w:val="33B61AA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nsid w:val="45E5377D"/>
    <w:multiLevelType w:val="hybridMultilevel"/>
    <w:tmpl w:val="E0827D96"/>
    <w:lvl w:ilvl="0" w:tplc="04160005">
      <w:start w:val="1"/>
      <w:numFmt w:val="bullet"/>
      <w:lvlText w:val=""/>
      <w:lvlJc w:val="left"/>
      <w:pPr>
        <w:ind w:left="792" w:hanging="360"/>
      </w:pPr>
      <w:rPr>
        <w:rFonts w:ascii="Wingdings" w:hAnsi="Wingdings" w:hint="default"/>
      </w:rPr>
    </w:lvl>
    <w:lvl w:ilvl="1" w:tplc="04160003" w:tentative="1">
      <w:start w:val="1"/>
      <w:numFmt w:val="bullet"/>
      <w:lvlText w:val="o"/>
      <w:lvlJc w:val="left"/>
      <w:pPr>
        <w:ind w:left="1512" w:hanging="360"/>
      </w:pPr>
      <w:rPr>
        <w:rFonts w:ascii="Courier New" w:hAnsi="Courier New" w:cs="Courier New" w:hint="default"/>
      </w:rPr>
    </w:lvl>
    <w:lvl w:ilvl="2" w:tplc="04160005" w:tentative="1">
      <w:start w:val="1"/>
      <w:numFmt w:val="bullet"/>
      <w:lvlText w:val=""/>
      <w:lvlJc w:val="left"/>
      <w:pPr>
        <w:ind w:left="2232" w:hanging="360"/>
      </w:pPr>
      <w:rPr>
        <w:rFonts w:ascii="Wingdings" w:hAnsi="Wingdings" w:hint="default"/>
      </w:rPr>
    </w:lvl>
    <w:lvl w:ilvl="3" w:tplc="04160001" w:tentative="1">
      <w:start w:val="1"/>
      <w:numFmt w:val="bullet"/>
      <w:lvlText w:val=""/>
      <w:lvlJc w:val="left"/>
      <w:pPr>
        <w:ind w:left="2952" w:hanging="360"/>
      </w:pPr>
      <w:rPr>
        <w:rFonts w:ascii="Symbol" w:hAnsi="Symbol" w:hint="default"/>
      </w:rPr>
    </w:lvl>
    <w:lvl w:ilvl="4" w:tplc="04160003" w:tentative="1">
      <w:start w:val="1"/>
      <w:numFmt w:val="bullet"/>
      <w:lvlText w:val="o"/>
      <w:lvlJc w:val="left"/>
      <w:pPr>
        <w:ind w:left="3672" w:hanging="360"/>
      </w:pPr>
      <w:rPr>
        <w:rFonts w:ascii="Courier New" w:hAnsi="Courier New" w:cs="Courier New" w:hint="default"/>
      </w:rPr>
    </w:lvl>
    <w:lvl w:ilvl="5" w:tplc="04160005" w:tentative="1">
      <w:start w:val="1"/>
      <w:numFmt w:val="bullet"/>
      <w:lvlText w:val=""/>
      <w:lvlJc w:val="left"/>
      <w:pPr>
        <w:ind w:left="4392" w:hanging="360"/>
      </w:pPr>
      <w:rPr>
        <w:rFonts w:ascii="Wingdings" w:hAnsi="Wingdings" w:hint="default"/>
      </w:rPr>
    </w:lvl>
    <w:lvl w:ilvl="6" w:tplc="04160001" w:tentative="1">
      <w:start w:val="1"/>
      <w:numFmt w:val="bullet"/>
      <w:lvlText w:val=""/>
      <w:lvlJc w:val="left"/>
      <w:pPr>
        <w:ind w:left="5112" w:hanging="360"/>
      </w:pPr>
      <w:rPr>
        <w:rFonts w:ascii="Symbol" w:hAnsi="Symbol" w:hint="default"/>
      </w:rPr>
    </w:lvl>
    <w:lvl w:ilvl="7" w:tplc="04160003" w:tentative="1">
      <w:start w:val="1"/>
      <w:numFmt w:val="bullet"/>
      <w:lvlText w:val="o"/>
      <w:lvlJc w:val="left"/>
      <w:pPr>
        <w:ind w:left="5832" w:hanging="360"/>
      </w:pPr>
      <w:rPr>
        <w:rFonts w:ascii="Courier New" w:hAnsi="Courier New" w:cs="Courier New" w:hint="default"/>
      </w:rPr>
    </w:lvl>
    <w:lvl w:ilvl="8" w:tplc="04160005" w:tentative="1">
      <w:start w:val="1"/>
      <w:numFmt w:val="bullet"/>
      <w:lvlText w:val=""/>
      <w:lvlJc w:val="left"/>
      <w:pPr>
        <w:ind w:left="6552" w:hanging="360"/>
      </w:pPr>
      <w:rPr>
        <w:rFonts w:ascii="Wingdings" w:hAnsi="Wingdings" w:hint="default"/>
      </w:rPr>
    </w:lvl>
  </w:abstractNum>
  <w:abstractNum w:abstractNumId="28">
    <w:nsid w:val="47583A24"/>
    <w:multiLevelType w:val="hybridMultilevel"/>
    <w:tmpl w:val="F8069358"/>
    <w:lvl w:ilvl="0" w:tplc="3752CC5A">
      <w:start w:val="1"/>
      <w:numFmt w:val="bullet"/>
      <w:lvlText w:val=""/>
      <w:lvlJc w:val="left"/>
      <w:pPr>
        <w:ind w:left="720" w:hanging="360"/>
      </w:pPr>
      <w:rPr>
        <w:rFonts w:ascii="Wingdings" w:hAnsi="Wingdings" w:hint="default"/>
        <w:b/>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nsid w:val="4833167B"/>
    <w:multiLevelType w:val="hybridMultilevel"/>
    <w:tmpl w:val="3042B81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nsid w:val="4AB5568C"/>
    <w:multiLevelType w:val="hybridMultilevel"/>
    <w:tmpl w:val="261ED81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nsid w:val="4D3C3CD7"/>
    <w:multiLevelType w:val="hybridMultilevel"/>
    <w:tmpl w:val="7ECE397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nsid w:val="4F896EDC"/>
    <w:multiLevelType w:val="hybridMultilevel"/>
    <w:tmpl w:val="72886F9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nsid w:val="533B3B30"/>
    <w:multiLevelType w:val="hybridMultilevel"/>
    <w:tmpl w:val="B8620AB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nsid w:val="56F82A96"/>
    <w:multiLevelType w:val="hybridMultilevel"/>
    <w:tmpl w:val="D07EFD2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nsid w:val="58197213"/>
    <w:multiLevelType w:val="hybridMultilevel"/>
    <w:tmpl w:val="489CE3E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nsid w:val="5E9678A9"/>
    <w:multiLevelType w:val="hybridMultilevel"/>
    <w:tmpl w:val="9F6EA93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nsid w:val="61250BAA"/>
    <w:multiLevelType w:val="hybridMultilevel"/>
    <w:tmpl w:val="369C491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nsid w:val="6926243A"/>
    <w:multiLevelType w:val="hybridMultilevel"/>
    <w:tmpl w:val="DB58452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nsid w:val="6C5E17A1"/>
    <w:multiLevelType w:val="hybridMultilevel"/>
    <w:tmpl w:val="71A6618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nsid w:val="6F9C07A4"/>
    <w:multiLevelType w:val="hybridMultilevel"/>
    <w:tmpl w:val="B04A811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nsid w:val="71121968"/>
    <w:multiLevelType w:val="hybridMultilevel"/>
    <w:tmpl w:val="9500BCDC"/>
    <w:lvl w:ilvl="0" w:tplc="04160005">
      <w:start w:val="1"/>
      <w:numFmt w:val="bullet"/>
      <w:lvlText w:val=""/>
      <w:lvlJc w:val="left"/>
      <w:pPr>
        <w:ind w:left="720" w:hanging="360"/>
      </w:pPr>
      <w:rPr>
        <w:rFonts w:ascii="Wingdings" w:hAnsi="Wingdings" w:hint="default"/>
        <w:b w:val="0"/>
        <w:color w:val="000000" w:themeColor="text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nsid w:val="79CD0177"/>
    <w:multiLevelType w:val="hybridMultilevel"/>
    <w:tmpl w:val="C7521956"/>
    <w:lvl w:ilvl="0" w:tplc="0416000D">
      <w:start w:val="1"/>
      <w:numFmt w:val="bullet"/>
      <w:lvlText w:val=""/>
      <w:lvlJc w:val="left"/>
      <w:pPr>
        <w:ind w:left="792" w:hanging="360"/>
      </w:pPr>
      <w:rPr>
        <w:rFonts w:ascii="Wingdings" w:hAnsi="Wingdings" w:hint="default"/>
      </w:rPr>
    </w:lvl>
    <w:lvl w:ilvl="1" w:tplc="04160003" w:tentative="1">
      <w:start w:val="1"/>
      <w:numFmt w:val="bullet"/>
      <w:lvlText w:val="o"/>
      <w:lvlJc w:val="left"/>
      <w:pPr>
        <w:ind w:left="1512" w:hanging="360"/>
      </w:pPr>
      <w:rPr>
        <w:rFonts w:ascii="Courier New" w:hAnsi="Courier New" w:cs="Courier New" w:hint="default"/>
      </w:rPr>
    </w:lvl>
    <w:lvl w:ilvl="2" w:tplc="04160005" w:tentative="1">
      <w:start w:val="1"/>
      <w:numFmt w:val="bullet"/>
      <w:lvlText w:val=""/>
      <w:lvlJc w:val="left"/>
      <w:pPr>
        <w:ind w:left="2232" w:hanging="360"/>
      </w:pPr>
      <w:rPr>
        <w:rFonts w:ascii="Wingdings" w:hAnsi="Wingdings" w:hint="default"/>
      </w:rPr>
    </w:lvl>
    <w:lvl w:ilvl="3" w:tplc="04160001" w:tentative="1">
      <w:start w:val="1"/>
      <w:numFmt w:val="bullet"/>
      <w:lvlText w:val=""/>
      <w:lvlJc w:val="left"/>
      <w:pPr>
        <w:ind w:left="2952" w:hanging="360"/>
      </w:pPr>
      <w:rPr>
        <w:rFonts w:ascii="Symbol" w:hAnsi="Symbol" w:hint="default"/>
      </w:rPr>
    </w:lvl>
    <w:lvl w:ilvl="4" w:tplc="04160003" w:tentative="1">
      <w:start w:val="1"/>
      <w:numFmt w:val="bullet"/>
      <w:lvlText w:val="o"/>
      <w:lvlJc w:val="left"/>
      <w:pPr>
        <w:ind w:left="3672" w:hanging="360"/>
      </w:pPr>
      <w:rPr>
        <w:rFonts w:ascii="Courier New" w:hAnsi="Courier New" w:cs="Courier New" w:hint="default"/>
      </w:rPr>
    </w:lvl>
    <w:lvl w:ilvl="5" w:tplc="04160005" w:tentative="1">
      <w:start w:val="1"/>
      <w:numFmt w:val="bullet"/>
      <w:lvlText w:val=""/>
      <w:lvlJc w:val="left"/>
      <w:pPr>
        <w:ind w:left="4392" w:hanging="360"/>
      </w:pPr>
      <w:rPr>
        <w:rFonts w:ascii="Wingdings" w:hAnsi="Wingdings" w:hint="default"/>
      </w:rPr>
    </w:lvl>
    <w:lvl w:ilvl="6" w:tplc="04160001" w:tentative="1">
      <w:start w:val="1"/>
      <w:numFmt w:val="bullet"/>
      <w:lvlText w:val=""/>
      <w:lvlJc w:val="left"/>
      <w:pPr>
        <w:ind w:left="5112" w:hanging="360"/>
      </w:pPr>
      <w:rPr>
        <w:rFonts w:ascii="Symbol" w:hAnsi="Symbol" w:hint="default"/>
      </w:rPr>
    </w:lvl>
    <w:lvl w:ilvl="7" w:tplc="04160003" w:tentative="1">
      <w:start w:val="1"/>
      <w:numFmt w:val="bullet"/>
      <w:lvlText w:val="o"/>
      <w:lvlJc w:val="left"/>
      <w:pPr>
        <w:ind w:left="5832" w:hanging="360"/>
      </w:pPr>
      <w:rPr>
        <w:rFonts w:ascii="Courier New" w:hAnsi="Courier New" w:cs="Courier New" w:hint="default"/>
      </w:rPr>
    </w:lvl>
    <w:lvl w:ilvl="8" w:tplc="04160005" w:tentative="1">
      <w:start w:val="1"/>
      <w:numFmt w:val="bullet"/>
      <w:lvlText w:val=""/>
      <w:lvlJc w:val="left"/>
      <w:pPr>
        <w:ind w:left="6552" w:hanging="360"/>
      </w:pPr>
      <w:rPr>
        <w:rFonts w:ascii="Wingdings" w:hAnsi="Wingdings" w:hint="default"/>
      </w:rPr>
    </w:lvl>
  </w:abstractNum>
  <w:abstractNum w:abstractNumId="43">
    <w:nsid w:val="7A3215DC"/>
    <w:multiLevelType w:val="hybridMultilevel"/>
    <w:tmpl w:val="916EB48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nsid w:val="7CBB723D"/>
    <w:multiLevelType w:val="hybridMultilevel"/>
    <w:tmpl w:val="D984351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nsid w:val="7F0408B4"/>
    <w:multiLevelType w:val="hybridMultilevel"/>
    <w:tmpl w:val="185E46E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45"/>
  </w:num>
  <w:num w:numId="2">
    <w:abstractNumId w:val="39"/>
  </w:num>
  <w:num w:numId="3">
    <w:abstractNumId w:val="41"/>
  </w:num>
  <w:num w:numId="4">
    <w:abstractNumId w:val="28"/>
  </w:num>
  <w:num w:numId="5">
    <w:abstractNumId w:val="16"/>
  </w:num>
  <w:num w:numId="6">
    <w:abstractNumId w:val="30"/>
  </w:num>
  <w:num w:numId="7">
    <w:abstractNumId w:val="40"/>
  </w:num>
  <w:num w:numId="8">
    <w:abstractNumId w:val="19"/>
  </w:num>
  <w:num w:numId="9">
    <w:abstractNumId w:val="7"/>
  </w:num>
  <w:num w:numId="10">
    <w:abstractNumId w:val="34"/>
  </w:num>
  <w:num w:numId="11">
    <w:abstractNumId w:val="26"/>
  </w:num>
  <w:num w:numId="12">
    <w:abstractNumId w:val="0"/>
  </w:num>
  <w:num w:numId="13">
    <w:abstractNumId w:val="8"/>
  </w:num>
  <w:num w:numId="14">
    <w:abstractNumId w:val="21"/>
  </w:num>
  <w:num w:numId="15">
    <w:abstractNumId w:val="2"/>
  </w:num>
  <w:num w:numId="16">
    <w:abstractNumId w:val="44"/>
  </w:num>
  <w:num w:numId="17">
    <w:abstractNumId w:val="3"/>
  </w:num>
  <w:num w:numId="18">
    <w:abstractNumId w:val="35"/>
  </w:num>
  <w:num w:numId="19">
    <w:abstractNumId w:val="20"/>
  </w:num>
  <w:num w:numId="20">
    <w:abstractNumId w:val="38"/>
  </w:num>
  <w:num w:numId="21">
    <w:abstractNumId w:val="6"/>
  </w:num>
  <w:num w:numId="22">
    <w:abstractNumId w:val="15"/>
  </w:num>
  <w:num w:numId="23">
    <w:abstractNumId w:val="11"/>
  </w:num>
  <w:num w:numId="24">
    <w:abstractNumId w:val="23"/>
  </w:num>
  <w:num w:numId="25">
    <w:abstractNumId w:val="17"/>
  </w:num>
  <w:num w:numId="26">
    <w:abstractNumId w:val="37"/>
  </w:num>
  <w:num w:numId="27">
    <w:abstractNumId w:val="32"/>
  </w:num>
  <w:num w:numId="28">
    <w:abstractNumId w:val="36"/>
  </w:num>
  <w:num w:numId="29">
    <w:abstractNumId w:val="24"/>
  </w:num>
  <w:num w:numId="30">
    <w:abstractNumId w:val="22"/>
  </w:num>
  <w:num w:numId="31">
    <w:abstractNumId w:val="43"/>
  </w:num>
  <w:num w:numId="32">
    <w:abstractNumId w:val="25"/>
  </w:num>
  <w:num w:numId="33">
    <w:abstractNumId w:val="10"/>
  </w:num>
  <w:num w:numId="34">
    <w:abstractNumId w:val="29"/>
  </w:num>
  <w:num w:numId="35">
    <w:abstractNumId w:val="4"/>
  </w:num>
  <w:num w:numId="36">
    <w:abstractNumId w:val="14"/>
  </w:num>
  <w:num w:numId="37">
    <w:abstractNumId w:val="18"/>
  </w:num>
  <w:num w:numId="38">
    <w:abstractNumId w:val="33"/>
  </w:num>
  <w:num w:numId="39">
    <w:abstractNumId w:val="1"/>
  </w:num>
  <w:num w:numId="40">
    <w:abstractNumId w:val="12"/>
  </w:num>
  <w:num w:numId="41">
    <w:abstractNumId w:val="9"/>
  </w:num>
  <w:num w:numId="42">
    <w:abstractNumId w:val="31"/>
  </w:num>
  <w:num w:numId="43">
    <w:abstractNumId w:val="42"/>
  </w:num>
  <w:num w:numId="44">
    <w:abstractNumId w:val="13"/>
  </w:num>
  <w:num w:numId="45">
    <w:abstractNumId w:val="27"/>
  </w:num>
  <w:num w:numId="46">
    <w:abstractNumId w:val="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0943"/>
    <w:rsid w:val="00016EB8"/>
    <w:rsid w:val="00017DE4"/>
    <w:rsid w:val="00032A0C"/>
    <w:rsid w:val="00033D8A"/>
    <w:rsid w:val="000367A4"/>
    <w:rsid w:val="0004033C"/>
    <w:rsid w:val="000403B4"/>
    <w:rsid w:val="00050692"/>
    <w:rsid w:val="000632F5"/>
    <w:rsid w:val="0006487D"/>
    <w:rsid w:val="00065BF9"/>
    <w:rsid w:val="00066217"/>
    <w:rsid w:val="00067AEF"/>
    <w:rsid w:val="0008155A"/>
    <w:rsid w:val="00087697"/>
    <w:rsid w:val="00093197"/>
    <w:rsid w:val="00093B12"/>
    <w:rsid w:val="000C4A70"/>
    <w:rsid w:val="000C4DDD"/>
    <w:rsid w:val="000C6DAB"/>
    <w:rsid w:val="000C6FC5"/>
    <w:rsid w:val="000C7FB8"/>
    <w:rsid w:val="000D22C4"/>
    <w:rsid w:val="000D59F0"/>
    <w:rsid w:val="00101031"/>
    <w:rsid w:val="00103047"/>
    <w:rsid w:val="001055CC"/>
    <w:rsid w:val="00107C2A"/>
    <w:rsid w:val="001129F2"/>
    <w:rsid w:val="00160A51"/>
    <w:rsid w:val="00162695"/>
    <w:rsid w:val="00166C89"/>
    <w:rsid w:val="00166D95"/>
    <w:rsid w:val="001677BA"/>
    <w:rsid w:val="0017427A"/>
    <w:rsid w:val="00183C06"/>
    <w:rsid w:val="00184CA3"/>
    <w:rsid w:val="001904A2"/>
    <w:rsid w:val="00190642"/>
    <w:rsid w:val="00190943"/>
    <w:rsid w:val="00191FEA"/>
    <w:rsid w:val="00195B20"/>
    <w:rsid w:val="001A26AE"/>
    <w:rsid w:val="001B3906"/>
    <w:rsid w:val="001B464F"/>
    <w:rsid w:val="001B6CB3"/>
    <w:rsid w:val="001C0A44"/>
    <w:rsid w:val="001C0EA2"/>
    <w:rsid w:val="001E0095"/>
    <w:rsid w:val="001E14DD"/>
    <w:rsid w:val="001E4757"/>
    <w:rsid w:val="001E47FF"/>
    <w:rsid w:val="001E4C44"/>
    <w:rsid w:val="00203AA2"/>
    <w:rsid w:val="002123AF"/>
    <w:rsid w:val="002149FF"/>
    <w:rsid w:val="002173A4"/>
    <w:rsid w:val="00224BC3"/>
    <w:rsid w:val="00224FEA"/>
    <w:rsid w:val="002300CD"/>
    <w:rsid w:val="00241FF3"/>
    <w:rsid w:val="00243C20"/>
    <w:rsid w:val="00245B85"/>
    <w:rsid w:val="00247782"/>
    <w:rsid w:val="00256734"/>
    <w:rsid w:val="00272186"/>
    <w:rsid w:val="0029160D"/>
    <w:rsid w:val="00296172"/>
    <w:rsid w:val="00297D5A"/>
    <w:rsid w:val="002B169A"/>
    <w:rsid w:val="002C3DED"/>
    <w:rsid w:val="002C41F2"/>
    <w:rsid w:val="002C7C38"/>
    <w:rsid w:val="002D7578"/>
    <w:rsid w:val="002E3D1A"/>
    <w:rsid w:val="002F1491"/>
    <w:rsid w:val="002F1D6E"/>
    <w:rsid w:val="003308C5"/>
    <w:rsid w:val="00330CE8"/>
    <w:rsid w:val="00334133"/>
    <w:rsid w:val="003355B5"/>
    <w:rsid w:val="0033723F"/>
    <w:rsid w:val="00343926"/>
    <w:rsid w:val="00346CC9"/>
    <w:rsid w:val="00356E90"/>
    <w:rsid w:val="0037189A"/>
    <w:rsid w:val="003720A9"/>
    <w:rsid w:val="0038117B"/>
    <w:rsid w:val="00384C53"/>
    <w:rsid w:val="003869AA"/>
    <w:rsid w:val="003901D2"/>
    <w:rsid w:val="003905E8"/>
    <w:rsid w:val="003A1939"/>
    <w:rsid w:val="003A21DD"/>
    <w:rsid w:val="003B2FE1"/>
    <w:rsid w:val="003C1CF8"/>
    <w:rsid w:val="003C42C5"/>
    <w:rsid w:val="003D3FA1"/>
    <w:rsid w:val="003D5CC5"/>
    <w:rsid w:val="003E5EE4"/>
    <w:rsid w:val="00436D83"/>
    <w:rsid w:val="004501C2"/>
    <w:rsid w:val="0045368A"/>
    <w:rsid w:val="00453CDC"/>
    <w:rsid w:val="00455AF4"/>
    <w:rsid w:val="00462CAD"/>
    <w:rsid w:val="00472107"/>
    <w:rsid w:val="00487CC8"/>
    <w:rsid w:val="00490698"/>
    <w:rsid w:val="004B0305"/>
    <w:rsid w:val="004B0695"/>
    <w:rsid w:val="004C2FE0"/>
    <w:rsid w:val="004D6191"/>
    <w:rsid w:val="004D7057"/>
    <w:rsid w:val="004F2E57"/>
    <w:rsid w:val="004F784B"/>
    <w:rsid w:val="00500C01"/>
    <w:rsid w:val="00513EFD"/>
    <w:rsid w:val="00521DD1"/>
    <w:rsid w:val="00526F20"/>
    <w:rsid w:val="00527462"/>
    <w:rsid w:val="00541B03"/>
    <w:rsid w:val="00546882"/>
    <w:rsid w:val="00552A82"/>
    <w:rsid w:val="00555F0A"/>
    <w:rsid w:val="00557B31"/>
    <w:rsid w:val="00560F7C"/>
    <w:rsid w:val="00564E3B"/>
    <w:rsid w:val="00570252"/>
    <w:rsid w:val="00571F32"/>
    <w:rsid w:val="00572CC0"/>
    <w:rsid w:val="00574EA9"/>
    <w:rsid w:val="005818E0"/>
    <w:rsid w:val="0058784A"/>
    <w:rsid w:val="00593BA8"/>
    <w:rsid w:val="005A720E"/>
    <w:rsid w:val="005B7F48"/>
    <w:rsid w:val="005C0965"/>
    <w:rsid w:val="005C1EF3"/>
    <w:rsid w:val="005C3FBD"/>
    <w:rsid w:val="005D2DFF"/>
    <w:rsid w:val="005D49B6"/>
    <w:rsid w:val="005D53A8"/>
    <w:rsid w:val="005E16D9"/>
    <w:rsid w:val="005E1A23"/>
    <w:rsid w:val="005F5FCE"/>
    <w:rsid w:val="00601D9C"/>
    <w:rsid w:val="00614E28"/>
    <w:rsid w:val="006166AE"/>
    <w:rsid w:val="006217F8"/>
    <w:rsid w:val="00624F29"/>
    <w:rsid w:val="0064321C"/>
    <w:rsid w:val="00644910"/>
    <w:rsid w:val="00666327"/>
    <w:rsid w:val="0067154C"/>
    <w:rsid w:val="00673B20"/>
    <w:rsid w:val="00681F22"/>
    <w:rsid w:val="00682E6F"/>
    <w:rsid w:val="0068553F"/>
    <w:rsid w:val="00685A11"/>
    <w:rsid w:val="006863F8"/>
    <w:rsid w:val="006914BB"/>
    <w:rsid w:val="00693043"/>
    <w:rsid w:val="00696F67"/>
    <w:rsid w:val="006979D7"/>
    <w:rsid w:val="006A063C"/>
    <w:rsid w:val="006A2BD8"/>
    <w:rsid w:val="006A5114"/>
    <w:rsid w:val="006B45D8"/>
    <w:rsid w:val="006C306B"/>
    <w:rsid w:val="006D0DC8"/>
    <w:rsid w:val="006D3E2D"/>
    <w:rsid w:val="006D3F4A"/>
    <w:rsid w:val="006D5749"/>
    <w:rsid w:val="006D69CC"/>
    <w:rsid w:val="006E3AEF"/>
    <w:rsid w:val="006E5FD9"/>
    <w:rsid w:val="006F023E"/>
    <w:rsid w:val="006F4C93"/>
    <w:rsid w:val="006F6D95"/>
    <w:rsid w:val="00713392"/>
    <w:rsid w:val="00720909"/>
    <w:rsid w:val="00733A5B"/>
    <w:rsid w:val="007353E6"/>
    <w:rsid w:val="00747095"/>
    <w:rsid w:val="00747D6B"/>
    <w:rsid w:val="0076405C"/>
    <w:rsid w:val="0076467A"/>
    <w:rsid w:val="007766DD"/>
    <w:rsid w:val="007871A0"/>
    <w:rsid w:val="007952C1"/>
    <w:rsid w:val="007A01AA"/>
    <w:rsid w:val="007A3C4B"/>
    <w:rsid w:val="007B0D84"/>
    <w:rsid w:val="007C55BE"/>
    <w:rsid w:val="007C7B32"/>
    <w:rsid w:val="007F0CBB"/>
    <w:rsid w:val="007F3689"/>
    <w:rsid w:val="0080052E"/>
    <w:rsid w:val="008038EA"/>
    <w:rsid w:val="00806084"/>
    <w:rsid w:val="008076EB"/>
    <w:rsid w:val="008079F4"/>
    <w:rsid w:val="008251EB"/>
    <w:rsid w:val="00826AA6"/>
    <w:rsid w:val="00830D61"/>
    <w:rsid w:val="008546DE"/>
    <w:rsid w:val="00854FB3"/>
    <w:rsid w:val="00857DDC"/>
    <w:rsid w:val="00872D6A"/>
    <w:rsid w:val="008871AA"/>
    <w:rsid w:val="008A0F81"/>
    <w:rsid w:val="008B44CF"/>
    <w:rsid w:val="008B7064"/>
    <w:rsid w:val="008C0F26"/>
    <w:rsid w:val="008C345B"/>
    <w:rsid w:val="008E00E3"/>
    <w:rsid w:val="008F4FCD"/>
    <w:rsid w:val="00911C72"/>
    <w:rsid w:val="009143F2"/>
    <w:rsid w:val="00915A72"/>
    <w:rsid w:val="0092021A"/>
    <w:rsid w:val="00921145"/>
    <w:rsid w:val="0092455F"/>
    <w:rsid w:val="00930E3E"/>
    <w:rsid w:val="009459AB"/>
    <w:rsid w:val="0095178B"/>
    <w:rsid w:val="00953887"/>
    <w:rsid w:val="0095659B"/>
    <w:rsid w:val="00966ACC"/>
    <w:rsid w:val="0098688A"/>
    <w:rsid w:val="00987130"/>
    <w:rsid w:val="00987C8C"/>
    <w:rsid w:val="00992AED"/>
    <w:rsid w:val="009A50C6"/>
    <w:rsid w:val="009A6203"/>
    <w:rsid w:val="009B13CA"/>
    <w:rsid w:val="009B19A8"/>
    <w:rsid w:val="009D007B"/>
    <w:rsid w:val="009D184E"/>
    <w:rsid w:val="009D4252"/>
    <w:rsid w:val="009E05D3"/>
    <w:rsid w:val="009F431B"/>
    <w:rsid w:val="00A00B45"/>
    <w:rsid w:val="00A01AD6"/>
    <w:rsid w:val="00A0406C"/>
    <w:rsid w:val="00A13596"/>
    <w:rsid w:val="00A17862"/>
    <w:rsid w:val="00A22D8B"/>
    <w:rsid w:val="00A27D53"/>
    <w:rsid w:val="00A41244"/>
    <w:rsid w:val="00A44F8F"/>
    <w:rsid w:val="00A45170"/>
    <w:rsid w:val="00A4682E"/>
    <w:rsid w:val="00A543EE"/>
    <w:rsid w:val="00A62927"/>
    <w:rsid w:val="00A77E01"/>
    <w:rsid w:val="00A81BCC"/>
    <w:rsid w:val="00A87855"/>
    <w:rsid w:val="00A878D9"/>
    <w:rsid w:val="00AA0060"/>
    <w:rsid w:val="00AA5993"/>
    <w:rsid w:val="00AA63F6"/>
    <w:rsid w:val="00AB5E13"/>
    <w:rsid w:val="00AC3B7A"/>
    <w:rsid w:val="00AE5AAE"/>
    <w:rsid w:val="00AE5AE6"/>
    <w:rsid w:val="00AF6F16"/>
    <w:rsid w:val="00B03F9A"/>
    <w:rsid w:val="00B05128"/>
    <w:rsid w:val="00B054D7"/>
    <w:rsid w:val="00B173E7"/>
    <w:rsid w:val="00B261BB"/>
    <w:rsid w:val="00B26946"/>
    <w:rsid w:val="00B311FF"/>
    <w:rsid w:val="00B4272C"/>
    <w:rsid w:val="00B42DCF"/>
    <w:rsid w:val="00B467DC"/>
    <w:rsid w:val="00B473FE"/>
    <w:rsid w:val="00B60D8E"/>
    <w:rsid w:val="00B634D5"/>
    <w:rsid w:val="00B65756"/>
    <w:rsid w:val="00B71DBC"/>
    <w:rsid w:val="00B741AA"/>
    <w:rsid w:val="00B91768"/>
    <w:rsid w:val="00BA6FC3"/>
    <w:rsid w:val="00BA7EAA"/>
    <w:rsid w:val="00BD0999"/>
    <w:rsid w:val="00BD3135"/>
    <w:rsid w:val="00BD575A"/>
    <w:rsid w:val="00BE03E5"/>
    <w:rsid w:val="00BE3752"/>
    <w:rsid w:val="00BF5288"/>
    <w:rsid w:val="00C026D7"/>
    <w:rsid w:val="00C12396"/>
    <w:rsid w:val="00C261EF"/>
    <w:rsid w:val="00C33F20"/>
    <w:rsid w:val="00C47893"/>
    <w:rsid w:val="00C536E2"/>
    <w:rsid w:val="00C56D49"/>
    <w:rsid w:val="00C60EE5"/>
    <w:rsid w:val="00C674F5"/>
    <w:rsid w:val="00C711B2"/>
    <w:rsid w:val="00C76FF1"/>
    <w:rsid w:val="00C9312F"/>
    <w:rsid w:val="00C93649"/>
    <w:rsid w:val="00C95FF9"/>
    <w:rsid w:val="00CA0BEB"/>
    <w:rsid w:val="00CB548C"/>
    <w:rsid w:val="00CC181D"/>
    <w:rsid w:val="00CD192D"/>
    <w:rsid w:val="00CD31BA"/>
    <w:rsid w:val="00CD525E"/>
    <w:rsid w:val="00CF155C"/>
    <w:rsid w:val="00CF1FF0"/>
    <w:rsid w:val="00CF606A"/>
    <w:rsid w:val="00D01719"/>
    <w:rsid w:val="00D05493"/>
    <w:rsid w:val="00D1740C"/>
    <w:rsid w:val="00D25A60"/>
    <w:rsid w:val="00D32F5E"/>
    <w:rsid w:val="00D3390C"/>
    <w:rsid w:val="00D40FF2"/>
    <w:rsid w:val="00D42DC8"/>
    <w:rsid w:val="00D43AA9"/>
    <w:rsid w:val="00D46138"/>
    <w:rsid w:val="00D517A8"/>
    <w:rsid w:val="00D55EA4"/>
    <w:rsid w:val="00D56F68"/>
    <w:rsid w:val="00D57D02"/>
    <w:rsid w:val="00D67EE2"/>
    <w:rsid w:val="00D73CD7"/>
    <w:rsid w:val="00D73EA9"/>
    <w:rsid w:val="00D77946"/>
    <w:rsid w:val="00D83536"/>
    <w:rsid w:val="00D8415A"/>
    <w:rsid w:val="00D908D5"/>
    <w:rsid w:val="00D910D5"/>
    <w:rsid w:val="00D944A9"/>
    <w:rsid w:val="00DA062F"/>
    <w:rsid w:val="00DA1B3F"/>
    <w:rsid w:val="00DA5112"/>
    <w:rsid w:val="00DB7245"/>
    <w:rsid w:val="00DB77E5"/>
    <w:rsid w:val="00DD2A55"/>
    <w:rsid w:val="00DF15F0"/>
    <w:rsid w:val="00E002FC"/>
    <w:rsid w:val="00E05A9F"/>
    <w:rsid w:val="00E11839"/>
    <w:rsid w:val="00E23923"/>
    <w:rsid w:val="00E25688"/>
    <w:rsid w:val="00E33BC3"/>
    <w:rsid w:val="00E346B4"/>
    <w:rsid w:val="00E40778"/>
    <w:rsid w:val="00E434A7"/>
    <w:rsid w:val="00E64A21"/>
    <w:rsid w:val="00E65E72"/>
    <w:rsid w:val="00E81779"/>
    <w:rsid w:val="00E93A72"/>
    <w:rsid w:val="00EA1350"/>
    <w:rsid w:val="00EA5442"/>
    <w:rsid w:val="00ED0ACE"/>
    <w:rsid w:val="00ED11E9"/>
    <w:rsid w:val="00ED11FB"/>
    <w:rsid w:val="00ED3AA4"/>
    <w:rsid w:val="00ED4F52"/>
    <w:rsid w:val="00EE0AFF"/>
    <w:rsid w:val="00EE0DD4"/>
    <w:rsid w:val="00EE6D72"/>
    <w:rsid w:val="00EE707F"/>
    <w:rsid w:val="00EE7419"/>
    <w:rsid w:val="00EF25F3"/>
    <w:rsid w:val="00EF2F93"/>
    <w:rsid w:val="00F01DE9"/>
    <w:rsid w:val="00F03A9C"/>
    <w:rsid w:val="00F04734"/>
    <w:rsid w:val="00F04FB8"/>
    <w:rsid w:val="00F065BE"/>
    <w:rsid w:val="00F226D1"/>
    <w:rsid w:val="00F25F8F"/>
    <w:rsid w:val="00F2740B"/>
    <w:rsid w:val="00F30CD9"/>
    <w:rsid w:val="00F33D99"/>
    <w:rsid w:val="00F342D5"/>
    <w:rsid w:val="00F37119"/>
    <w:rsid w:val="00F40CCD"/>
    <w:rsid w:val="00F45664"/>
    <w:rsid w:val="00F55B42"/>
    <w:rsid w:val="00F71989"/>
    <w:rsid w:val="00F74E31"/>
    <w:rsid w:val="00F774FF"/>
    <w:rsid w:val="00F857BF"/>
    <w:rsid w:val="00F85BED"/>
    <w:rsid w:val="00F87951"/>
    <w:rsid w:val="00F973FC"/>
    <w:rsid w:val="00F97BA3"/>
    <w:rsid w:val="00F97DFC"/>
    <w:rsid w:val="00FA1CFD"/>
    <w:rsid w:val="00FB3F94"/>
    <w:rsid w:val="00FC45CC"/>
    <w:rsid w:val="00FD0ED3"/>
    <w:rsid w:val="00FD1AC3"/>
    <w:rsid w:val="00FD639D"/>
    <w:rsid w:val="00FE0C3F"/>
    <w:rsid w:val="00FE0E90"/>
    <w:rsid w:val="00FE19D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F01DE9"/>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01DE9"/>
    <w:rPr>
      <w:rFonts w:ascii="Segoe UI" w:hAnsi="Segoe UI" w:cs="Segoe UI"/>
      <w:sz w:val="18"/>
      <w:szCs w:val="18"/>
    </w:rPr>
  </w:style>
  <w:style w:type="character" w:styleId="Hyperlink">
    <w:name w:val="Hyperlink"/>
    <w:basedOn w:val="Fontepargpadro"/>
    <w:uiPriority w:val="99"/>
    <w:unhideWhenUsed/>
    <w:rsid w:val="001A26AE"/>
    <w:rPr>
      <w:color w:val="0000FF" w:themeColor="hyperlink"/>
      <w:u w:val="single"/>
    </w:rPr>
  </w:style>
  <w:style w:type="paragraph" w:styleId="PargrafodaLista">
    <w:name w:val="List Paragraph"/>
    <w:basedOn w:val="Normal"/>
    <w:uiPriority w:val="34"/>
    <w:qFormat/>
    <w:rsid w:val="002B169A"/>
    <w:pPr>
      <w:ind w:left="720"/>
      <w:contextualSpacing/>
    </w:pPr>
  </w:style>
  <w:style w:type="paragraph" w:customStyle="1" w:styleId="Default">
    <w:name w:val="Default"/>
    <w:rsid w:val="000D22C4"/>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6D3E2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6D3E2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F01DE9"/>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01DE9"/>
    <w:rPr>
      <w:rFonts w:ascii="Segoe UI" w:hAnsi="Segoe UI" w:cs="Segoe UI"/>
      <w:sz w:val="18"/>
      <w:szCs w:val="18"/>
    </w:rPr>
  </w:style>
  <w:style w:type="character" w:styleId="Hyperlink">
    <w:name w:val="Hyperlink"/>
    <w:basedOn w:val="Fontepargpadro"/>
    <w:uiPriority w:val="99"/>
    <w:unhideWhenUsed/>
    <w:rsid w:val="001A26AE"/>
    <w:rPr>
      <w:color w:val="0000FF" w:themeColor="hyperlink"/>
      <w:u w:val="single"/>
    </w:rPr>
  </w:style>
  <w:style w:type="paragraph" w:styleId="PargrafodaLista">
    <w:name w:val="List Paragraph"/>
    <w:basedOn w:val="Normal"/>
    <w:uiPriority w:val="34"/>
    <w:qFormat/>
    <w:rsid w:val="002B169A"/>
    <w:pPr>
      <w:ind w:left="720"/>
      <w:contextualSpacing/>
    </w:pPr>
  </w:style>
  <w:style w:type="paragraph" w:customStyle="1" w:styleId="Default">
    <w:name w:val="Default"/>
    <w:rsid w:val="000D22C4"/>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6D3E2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6D3E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0596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1D52D3-806A-429F-8833-76C547999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4854</Words>
  <Characters>26213</Characters>
  <Application>Microsoft Office Word</Application>
  <DocSecurity>0</DocSecurity>
  <Lines>218</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JUSCIVÂNIA</dc:creator>
  <cp:lastModifiedBy>pc0</cp:lastModifiedBy>
  <cp:revision>2</cp:revision>
  <cp:lastPrinted>2025-07-30T13:01:00Z</cp:lastPrinted>
  <dcterms:created xsi:type="dcterms:W3CDTF">2026-05-14T14:39:00Z</dcterms:created>
  <dcterms:modified xsi:type="dcterms:W3CDTF">2026-05-14T14:39:00Z</dcterms:modified>
</cp:coreProperties>
</file>