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DC2" w:rsidRDefault="00030DC2"/>
    <w:p w:rsidR="00E03D17" w:rsidRDefault="00E03D17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3"/>
        <w:gridCol w:w="5869"/>
        <w:gridCol w:w="2024"/>
        <w:gridCol w:w="1130"/>
        <w:gridCol w:w="2024"/>
      </w:tblGrid>
      <w:tr w:rsidR="00E03D17" w:rsidRPr="00041E37" w:rsidTr="00D907EF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LISTA DE VERIFICAÇÃO / RELATÓRIO DE AUDITORIA</w:t>
            </w:r>
          </w:p>
          <w:p w:rsidR="00E03D17" w:rsidRPr="00041E37" w:rsidRDefault="00E03D17" w:rsidP="00D907EF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sz w:val="20"/>
                <w:szCs w:val="20"/>
              </w:rPr>
              <w:t>Manual da ONA - versão 2022</w:t>
            </w:r>
          </w:p>
          <w:p w:rsidR="00E03D17" w:rsidRPr="00041E37" w:rsidRDefault="00E03D17" w:rsidP="00E03D17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>Subseção 2.11</w:t>
            </w:r>
            <w:r w:rsidRPr="00041E37"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color w:val="FF0000"/>
                <w:sz w:val="20"/>
                <w:szCs w:val="20"/>
              </w:rPr>
              <w:t xml:space="preserve">Radioterapia 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FFFFFF"/>
                <w:sz w:val="20"/>
                <w:szCs w:val="20"/>
              </w:rPr>
              <w:t>SEÇÃO 2 - ATENÇÃO AO PACIENTE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FFFFFF"/>
                <w:sz w:val="20"/>
                <w:szCs w:val="20"/>
              </w:rPr>
              <w:t>Sistema de Avaliação para a Acreditação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008080" w:fill="008080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FFFFFF"/>
                <w:sz w:val="20"/>
                <w:szCs w:val="20"/>
              </w:rPr>
              <w:t>Auditoria de Conformidade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Setor Auditado: </w:t>
            </w:r>
            <w:r w:rsidRPr="00E03D17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2.11</w:t>
            </w:r>
            <w:proofErr w:type="gramStart"/>
            <w:r w:rsidRPr="00E03D17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71436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End"/>
            <w:r w:rsidR="00071436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E03D17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Radioterapia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FFFFFF" w:fill="FFFFFF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981B64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Auditor Líder: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S: Supera (1,2)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Auditor Observador: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C: Conformidade (1,0)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981B64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Entrevistado (s):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PC: Parcial Conforme (0,5)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981B64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Data auditoria de conformidade: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NC: Não Conforme (0,0)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righ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color w:val="000000"/>
                <w:sz w:val="20"/>
                <w:szCs w:val="20"/>
              </w:rPr>
              <w:t>Sistema de Avaliação para a Acreditação:</w:t>
            </w:r>
          </w:p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S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 xml:space="preserve">: </w:t>
            </w: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Supera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>: Evidências apresentadas superam o esperado para o atendimento ao requisito em consonância com as dimensões da qualidade e fundamentos de gestão em saúde, considerando o perfil da organização.</w:t>
            </w:r>
          </w:p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C: Conformidade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>: Evidências apresentadas atendem ao requisito em consonância com as dimensões da qualidade e fundamentos de gestão em saúde, considerando o perfil da organização.</w:t>
            </w:r>
          </w:p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PC: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Parcial Conforme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>: Evidências apresentadas atendem parcialmente ao requisito em consonância com as dimensões da qualidade e fundamentos de gestão em saúde, considerando o perfil da organização.</w:t>
            </w:r>
          </w:p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NC: Não Conforme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>: Evidências apresentadas não atendem o requisito ou ausência de evidência para atendimento ao requisito em consonância com as dimensões da qualidade e fundamentos de gestão em saúde, considerando o perfil da organização. Ausência de práticas.</w:t>
            </w:r>
          </w:p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NA: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Não se Aplica</w:t>
            </w:r>
            <w:r w:rsidRPr="00041E37">
              <w:rPr>
                <w:rFonts w:cs="Arial"/>
                <w:color w:val="000000"/>
                <w:sz w:val="20"/>
                <w:szCs w:val="20"/>
              </w:rPr>
              <w:t>: Requisito não se aplica à característica da organização.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FFFFFF"/>
                <w:sz w:val="20"/>
                <w:szCs w:val="20"/>
              </w:rPr>
              <w:t>Acreditado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6" w:space="0" w:color="000000"/>
              <w:bottom w:val="nil"/>
              <w:right w:val="single" w:sz="4" w:space="0" w:color="auto"/>
            </w:tcBorders>
            <w:shd w:val="solid" w:color="008080" w:fill="008080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FFFFFF"/>
                <w:sz w:val="20"/>
                <w:szCs w:val="20"/>
              </w:rPr>
              <w:t xml:space="preserve">% para 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N1 - Acreditado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Totais 80% - Requisitos Core 90%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 2 - Acreditado Pleno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Totais 85% - Requisitos Core 90%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N 3 - Acreditado com Excelência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shd w:val="clear" w:color="auto" w:fill="auto"/>
          </w:tcPr>
          <w:p w:rsidR="00E03D17" w:rsidRPr="00041E37" w:rsidRDefault="00E03D17" w:rsidP="00D907EF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041E37">
              <w:rPr>
                <w:rFonts w:cs="Arial"/>
                <w:b/>
                <w:bCs/>
                <w:color w:val="000000"/>
                <w:sz w:val="20"/>
                <w:szCs w:val="20"/>
              </w:rPr>
              <w:t>Requisitos Totais 85% - Requisitos Core 90%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  <w:vAlign w:val="center"/>
          </w:tcPr>
          <w:p w:rsidR="00E03D17" w:rsidRPr="00981B64" w:rsidRDefault="00E03D17" w:rsidP="00D907EF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</w:pPr>
            <w:r w:rsidRPr="00981B64"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Subseção 2.2 Atendimento Ambulatorial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  <w:vAlign w:val="center"/>
          </w:tcPr>
          <w:p w:rsidR="00E03D17" w:rsidRPr="00981B64" w:rsidRDefault="00E03D17" w:rsidP="00D907EF">
            <w:pPr>
              <w:spacing w:after="0"/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</w:pPr>
            <w:r w:rsidRPr="00981B64"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Descrição: Processos voltados para a prestação de atendimento eletivo e de assistência aos pacientes/clientes externos, programados e/ou continuado. O modelo assistencial contempla ações preventivas, de diagnóstico, terapêuticas e de reabilitação ofertado com padrões de qualidade adequados à redução, a um mínimo aceitável, do risco de dano desnecessário associado à atenção à saúde.</w:t>
            </w:r>
          </w:p>
        </w:tc>
      </w:tr>
      <w:tr w:rsidR="00E03D17" w:rsidRPr="00041E37" w:rsidTr="00D907EF">
        <w:trPr>
          <w:trHeight w:val="22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solid" w:color="008080" w:fill="008080"/>
            <w:vAlign w:val="center"/>
          </w:tcPr>
          <w:p w:rsidR="00E03D17" w:rsidRPr="00981B64" w:rsidRDefault="00E03D17" w:rsidP="00D907EF">
            <w:pPr>
              <w:spacing w:after="0"/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</w:pPr>
            <w:r w:rsidRPr="00981B64"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 xml:space="preserve">PADRÃO NÍVEL </w:t>
            </w:r>
            <w:proofErr w:type="gramStart"/>
            <w:r w:rsidRPr="00981B64"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  <w:proofErr w:type="gramEnd"/>
            <w:r w:rsidRPr="00981B64"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t>: Define ou promove ações voltadas à acessibilidade, agilidade e continuidade do atendimento ao paciente/cliente com identificação e prevenção de riscos assistenciais.</w:t>
            </w:r>
          </w:p>
        </w:tc>
      </w:tr>
    </w:tbl>
    <w:p w:rsidR="00E03D17" w:rsidRDefault="00E03D17"/>
    <w:tbl>
      <w:tblPr>
        <w:tblW w:w="1642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2184"/>
        <w:gridCol w:w="3544"/>
        <w:gridCol w:w="5244"/>
        <w:gridCol w:w="5085"/>
      </w:tblGrid>
      <w:tr w:rsidR="00233228" w:rsidRPr="00C23586" w:rsidTr="00D907EF">
        <w:trPr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233228" w:rsidRPr="00C23586" w:rsidRDefault="002332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233228" w:rsidRPr="00C23586" w:rsidRDefault="002332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Requisitos de Nível 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233228" w:rsidRPr="00C23586" w:rsidRDefault="002332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Orientações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233228" w:rsidRPr="00C23586" w:rsidRDefault="002332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Sugestão de evidências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233228" w:rsidRPr="00C23586" w:rsidRDefault="002332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Constatações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 xml:space="preserve"> e Orientações </w:t>
            </w:r>
          </w:p>
        </w:tc>
      </w:tr>
      <w:tr w:rsidR="00233228" w:rsidRPr="00C23586" w:rsidTr="00DA3A2E">
        <w:trPr>
          <w:trHeight w:val="1732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233228" w:rsidRPr="00C23586" w:rsidRDefault="002332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</w:t>
            </w:r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3228" w:rsidRPr="00C23586" w:rsidRDefault="002332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Utiliza o perfil epidemiológico dos pacientes para orientar o planejamento das ações de assistência em radioterapia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3228" w:rsidRPr="00C23586" w:rsidRDefault="002332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O perfil epidemiológico dos pacientes inclui informações como gênero, idade, CID, localização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estadiamento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de tumor, procedência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comorbidades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. Estas informações devem nortear o planejamento assistencial, bem como os protocolos clínicos.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3228" w:rsidRPr="00C23586" w:rsidRDefault="002332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Perfil epidemiológico estruturado. Perfil mapeado dos pacientes orientando o planejamento do cuidado bem como os protocolos clínicos implantados (entre eles os protocolos de manejo de dor, náuseas, queimaduras provocadas pela radioterapia).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01F" w:rsidRPr="00C7601F" w:rsidRDefault="00C7601F" w:rsidP="00981B64">
            <w:pPr>
              <w:pStyle w:val="PargrafodaLista"/>
              <w:spacing w:after="0"/>
              <w:ind w:left="5"/>
              <w:jc w:val="left"/>
              <w:rPr>
                <w:rFonts w:cs="Arial"/>
                <w:b/>
                <w:sz w:val="20"/>
                <w:szCs w:val="20"/>
              </w:rPr>
            </w:pPr>
          </w:p>
        </w:tc>
      </w:tr>
      <w:tr w:rsidR="004D5F28" w:rsidRPr="00C23586" w:rsidTr="00D907EF">
        <w:trPr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4D5F28" w:rsidRPr="00C23586" w:rsidRDefault="004D5F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</w:t>
            </w:r>
            <w:proofErr w:type="gramEnd"/>
          </w:p>
        </w:tc>
        <w:tc>
          <w:tcPr>
            <w:tcW w:w="21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Dimensiona recursos humanos, tecnológicos e insumos de acordo com o perfil de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atendimento/assistencial.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Dimensionar recursos humanos, tecnológicos e insumos significa calcular a quantidade necessária destes para a prestação de serviço seguro, com qualidade, conforme a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necessidade e sem desperdício.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Escala de profissionais. Disponibilidade do </w:t>
            </w:r>
            <w:r w:rsidR="006B73EF" w:rsidRPr="00C23586">
              <w:rPr>
                <w:rFonts w:cs="Arial"/>
                <w:sz w:val="20"/>
                <w:szCs w:val="20"/>
              </w:rPr>
              <w:t>físico</w:t>
            </w:r>
            <w:r w:rsidRPr="00C23586">
              <w:rPr>
                <w:rFonts w:cs="Arial"/>
                <w:sz w:val="20"/>
                <w:szCs w:val="20"/>
              </w:rPr>
              <w:t xml:space="preserve"> médico. Planejamento das atividades e do recursos humanos considerando o número de profissionais que correspondam às necessidades dos serviços prestados. Recursos disponíveis são compatíveis com o perfil de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atendimento. Processo de aquisição e disponibilização oportuna de medicamentos utilizados em PCR, dor e náuseas/vômitos.</w:t>
            </w:r>
          </w:p>
        </w:tc>
        <w:tc>
          <w:tcPr>
            <w:tcW w:w="50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D5F28" w:rsidRPr="0035426B" w:rsidRDefault="004D5F28" w:rsidP="00981B64">
            <w:pPr>
              <w:pStyle w:val="PargrafodaLista"/>
              <w:spacing w:after="0"/>
              <w:ind w:left="147"/>
              <w:rPr>
                <w:rFonts w:cs="Arial"/>
                <w:sz w:val="20"/>
                <w:szCs w:val="20"/>
              </w:rPr>
            </w:pPr>
          </w:p>
        </w:tc>
      </w:tr>
      <w:tr w:rsidR="004D5F28" w:rsidRPr="00C23586" w:rsidTr="00181D57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4D5F28" w:rsidRPr="00C23586" w:rsidRDefault="004D5F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3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Dispõe de profissionais com competências e capacitação compatíveis com o perfil de atendimento/assistencial.</w:t>
            </w: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Competência é o conjunto de habilidades desenvolvidas e que caracterizam a função desempenhada. Por exemplo, tecnólogo em radiologia, físico medico, medico especialista em radioterapia.</w:t>
            </w:r>
          </w:p>
        </w:tc>
        <w:tc>
          <w:tcPr>
            <w:tcW w:w="5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Registros de responsabilidade técnica para médico, enfermeiro e físico. Registros dos profissionais no conselho de classe. Registro dos tecnólogos em radiologia. </w:t>
            </w:r>
            <w:r w:rsidRPr="00C23586">
              <w:rPr>
                <w:rFonts w:cs="Arial"/>
                <w:sz w:val="20"/>
                <w:szCs w:val="20"/>
              </w:rPr>
              <w:br/>
              <w:t>Capacitações desenvolvidas com as equipes de trabalho.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8207A" w:rsidRPr="00181D57" w:rsidRDefault="00E47660" w:rsidP="00981B64">
            <w:pPr>
              <w:pStyle w:val="PargrafodaLista"/>
              <w:tabs>
                <w:tab w:val="left" w:pos="289"/>
              </w:tabs>
              <w:spacing w:after="0"/>
              <w:ind w:left="5"/>
              <w:jc w:val="lef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4D5F28" w:rsidRPr="00C23586" w:rsidTr="004D5F28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4D5F28" w:rsidRPr="00C23586" w:rsidRDefault="004D5F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4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Identifica necessidade de treinamentos e capacitação frente às demandas assistenciais e do serviço.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Identificação das necessidades pode ser por mudança em algum processo, reativa a problemas encontrados ou para reiterar as práticas já implantadas.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Registros de treinamentos alinhadas com as necessidades identificadas da área. </w:t>
            </w:r>
            <w:r w:rsidRPr="00C23586">
              <w:rPr>
                <w:rFonts w:cs="Arial"/>
                <w:sz w:val="20"/>
                <w:szCs w:val="20"/>
              </w:rPr>
              <w:br/>
              <w:t>Periodicidade definida e se há capacitações alinhadas ao plano estratégico institucional. Treinamentos formais, reconhecidos, específicos de capacitação para atendimento de emergências, tais como: ACLS / BLS / ATLS, considerando porte e atuação do serviço.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C3589" w:rsidRPr="002C3589" w:rsidRDefault="009B6C20" w:rsidP="00981B64">
            <w:pPr>
              <w:pStyle w:val="PargrafodaLista"/>
              <w:tabs>
                <w:tab w:val="left" w:pos="214"/>
              </w:tabs>
              <w:spacing w:after="0"/>
              <w:ind w:left="5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</w:tr>
      <w:tr w:rsidR="004D5F28" w:rsidRPr="00C23586" w:rsidTr="00200191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4D5F28" w:rsidRPr="00C23586" w:rsidRDefault="004D5F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5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Padroniza, formaliza e revisa sistematicamente as condições de infraestrutura e os processo operacionais conforme diretrizes da Gestão da Qualidade com foco na capacitação da equipe para a mitigação de incidentes. Apresenta mudanças na infraestrutura e/ou na execução de processos de trabalho para melhoria da segurança dos pacientes.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Registros de treinamentos alinhados às necessidades identificadas do processo. </w:t>
            </w:r>
            <w:r w:rsidRPr="00C23586">
              <w:rPr>
                <w:rFonts w:cs="Arial"/>
                <w:sz w:val="20"/>
                <w:szCs w:val="20"/>
              </w:rPr>
              <w:br/>
              <w:t>Periodicidade definida e se há capacitações alinhadas ao plano estratégico institucional. Processos de trabalho definidos, formalizados e de conhecimento dos profissionais. Alterações nos processos formalizadas para as equipes internas e para os demais serviços impactados com as mudanças.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4D5F28" w:rsidRPr="004817B8" w:rsidRDefault="004D5F28" w:rsidP="00981B64">
            <w:pPr>
              <w:pStyle w:val="PargrafodaLista"/>
              <w:spacing w:after="0" w:line="276" w:lineRule="auto"/>
              <w:ind w:left="214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4D5F28" w:rsidRPr="00C23586" w:rsidTr="004D5F28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4D5F28" w:rsidRPr="00C23586" w:rsidRDefault="004D5F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6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com o plano de radioproteção.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O plano é um documento exigido para fins de licenciamento da instalação radiativa que estabelece o sistema de radioproteção a ser implantado na empresa. Deverá estar atualizado.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Disponibilidade do plano atualizado com registros tais como: projetos e/ou modificações nas instalações, incluindo o cálculo e especificações da blindagem; programa de treinamento para os colaboradores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ocupacionalmente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expostos, resultado do programa de garantia da qualidade em radioterapia realizado pelo serviço; Resultado de controles e monitorações individuais e das áreas. </w:t>
            </w:r>
            <w:r w:rsidRPr="00C23586">
              <w:rPr>
                <w:rFonts w:cs="Arial"/>
                <w:sz w:val="20"/>
                <w:szCs w:val="20"/>
              </w:rPr>
              <w:br/>
              <w:t>Segregação e descarte adequado de rejeitos radioativos.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D5F28" w:rsidRPr="004C5E5D" w:rsidRDefault="00584D2E" w:rsidP="00981B64">
            <w:pPr>
              <w:pStyle w:val="PargrafodaLista"/>
              <w:spacing w:after="0"/>
              <w:ind w:left="214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</w:tr>
      <w:tr w:rsidR="004D5F28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4D5F28" w:rsidRPr="00C23586" w:rsidRDefault="004D5F28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7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Processos de manutenção preventiva e corretiva são estabelecidos pela manutenção predial e engenharia clínica, e o monitoramento realizado em conjunto com a área, possibilitando revisão e ajustes necessários. Este monitoramento poderá ser feito em planilhas ou sistema eletrônicos (específicos ou não de manutenção). Para os</w:t>
            </w:r>
            <w:proofErr w:type="gramStart"/>
            <w:r w:rsidRPr="00C23586">
              <w:rPr>
                <w:rFonts w:cs="Arial"/>
                <w:sz w:val="20"/>
                <w:szCs w:val="20"/>
              </w:rPr>
              <w:t xml:space="preserve">  </w:t>
            </w:r>
            <w:proofErr w:type="gramEnd"/>
            <w:r w:rsidRPr="00C23586">
              <w:rPr>
                <w:rFonts w:cs="Arial"/>
                <w:sz w:val="20"/>
                <w:szCs w:val="20"/>
              </w:rPr>
              <w:lastRenderedPageBreak/>
              <w:t>equipamentos o uso de etiquetas/planilhas poderá ser empregado para registro das manutenções e das calibrações, por exemplo.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4D5F28" w:rsidRPr="00C23586" w:rsidRDefault="004D5F28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>Método formalizado para gerenciamento das manutenções preventivas e corretivas e como é o acompanhamento pela área. Conhecimento dos colaboradores sobre a abertura de ordens de serviço de manutenção corretiva e o acompanhamento do calendário de manutenções preventivas. Execução de uma manutenção para avaliar quais etapas foram cumpridas (por exemplo a abertura de chamado, tempo de resposta e avaliação da resolução do problema).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D5F28" w:rsidRPr="004D5F28" w:rsidRDefault="004D5F28" w:rsidP="00981B64">
            <w:pPr>
              <w:pStyle w:val="PargrafodaLista"/>
              <w:spacing w:after="0" w:line="276" w:lineRule="auto"/>
              <w:ind w:left="214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87E9A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8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Define critérios para priorização da agenda e monitora tempo máximo até realização da consulta/procedimento.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Para o agendamento seguro deve-se conhecer o perfil assistencial da unidade, prevendo na agenda a realização de consultas com equipe multidisciplinar e a realização dos procedimentos de acordo com os protocolos de tratamento, considerando o registro da data de </w:t>
            </w:r>
            <w:proofErr w:type="gramStart"/>
            <w:r w:rsidRPr="00C23586">
              <w:rPr>
                <w:rFonts w:cs="Arial"/>
                <w:sz w:val="20"/>
                <w:szCs w:val="20"/>
              </w:rPr>
              <w:t>início ,</w:t>
            </w:r>
            <w:proofErr w:type="gramEnd"/>
            <w:r w:rsidRPr="00C23586">
              <w:rPr>
                <w:rFonts w:cs="Arial"/>
                <w:sz w:val="20"/>
                <w:szCs w:val="20"/>
              </w:rPr>
              <w:t xml:space="preserve"> seguimento do tratamento e interrupções de tratamento quer por questões do paciente ou da infraestrutura.(manutenção do acelerador, por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ex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).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Critérios de agendamento e cumprimento dos prazos para início de radioterapia. </w:t>
            </w:r>
            <w:r w:rsidRPr="00C23586">
              <w:rPr>
                <w:rFonts w:cs="Arial"/>
                <w:sz w:val="20"/>
                <w:szCs w:val="20"/>
              </w:rPr>
              <w:br/>
              <w:t>Monitoramento do não comparecimento em consultas e tratamento. Registro e gerenciamento de casos de suspensão temporária de tratamento.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7E9A" w:rsidRPr="00DB0090" w:rsidRDefault="00CF2064" w:rsidP="00981B64">
            <w:pPr>
              <w:pStyle w:val="PargrafodaLista"/>
              <w:spacing w:after="0"/>
              <w:ind w:left="147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187E9A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9</w:t>
            </w:r>
            <w:proofErr w:type="gramEnd"/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Estabelece critérios para identificação dos pacientes/clientes classificados como críticos e fluxo para início de tratamento prioritário.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Critérios para identificação de pacientes/clientes críticos devem ser estabelecidos para definição de priorização do fluxo de atendimento e início de tratamento aos pacientes com necessidades imediatas.</w:t>
            </w:r>
            <w:r w:rsidRPr="00C23586">
              <w:rPr>
                <w:rFonts w:cs="Arial"/>
                <w:sz w:val="20"/>
                <w:szCs w:val="20"/>
              </w:rPr>
              <w:br/>
              <w:t xml:space="preserve"> A equipe médica, através dos protocolos institucionais, deve ser responsável pela sinalização de criticidade. </w:t>
            </w:r>
            <w:r w:rsidRPr="00C23586">
              <w:rPr>
                <w:rFonts w:cs="Arial"/>
                <w:sz w:val="20"/>
                <w:szCs w:val="20"/>
              </w:rPr>
              <w:br/>
              <w:t xml:space="preserve"> O fluxo de atendimento deve contemplar comunicação com fonte pagadora, serviços internos (autorização, compras, agendamento, equipe multidisciplinar), além de profissionais parceiros e SADT, quando aplicável.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Formalização de protocolo e/ou fluxos atualizados para priorização de atendimento a pacientes classificados como críticos. Entrevista com a equipe assistencial, recepção/ agendamento, autorização, aquisição (compras) para avaliação sobre o entendimento dos protocolos / fluxos estabelecidos. Plano de capacitação para desdobramento das diretrizes. Aplicação do protocolo/ fluxo de atendimento através de rastreio em prontuários. Metodologia estabelecida para monitoramento da adesão da equipe assistencial quanto ao protocolo estabelecido.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7E9A" w:rsidRDefault="00187E9A" w:rsidP="007F2332">
            <w:pPr>
              <w:spacing w:after="0"/>
              <w:rPr>
                <w:rFonts w:cs="Arial"/>
                <w:color w:val="000000"/>
                <w:sz w:val="20"/>
                <w:szCs w:val="20"/>
              </w:rPr>
            </w:pPr>
          </w:p>
          <w:p w:rsidR="00187E9A" w:rsidRPr="00B83317" w:rsidRDefault="00187E9A" w:rsidP="007F2332">
            <w:pPr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B83317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r w:rsidRPr="00B83317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</w:tc>
      </w:tr>
      <w:tr w:rsidR="00187E9A" w:rsidRPr="00C23586" w:rsidTr="00230646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Estabelece protocolos assistenciais/clínicos alinhados ao perfil epidemiológico. 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Protocolos em radioterapia são estabelecidos a partir do perfil assistencial (adulto e/ou pediátrico; ambulatorial ou hospitalar), por tipo de tratamento / segmentação considerando prevalência e/ou gravidade, por equipe multiprofissionais. A elaboração de protocolos clínicos e diretrizes terapêuticas devem abordar método de busca e avaliação da literatura científica, classificação da doença ou condição segundo a CID-10 - Classificação estatística internacional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de doenças e problemas relacionados à saúde, diagnóstico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estadiamento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, critérios de inclusão e exclusão, opções terapêuticas, monitorização do tratamento/seguimento (avaliação da resposta terapêutica, critérios de interrupção do tratamento), acompanhamento pós-tratamento e termo de consentimento informado e esclarecido.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Formalização de protocolos assistenciais atualizados, tais como: radioterapia externa </w:t>
            </w:r>
            <w:r w:rsidRPr="00271CCB">
              <w:rPr>
                <w:rFonts w:cs="Arial"/>
                <w:sz w:val="20"/>
                <w:szCs w:val="20"/>
                <w:highlight w:val="yellow"/>
              </w:rPr>
              <w:t xml:space="preserve">ou </w:t>
            </w:r>
            <w:proofErr w:type="spellStart"/>
            <w:r w:rsidRPr="00271CCB">
              <w:rPr>
                <w:rFonts w:cs="Arial"/>
                <w:sz w:val="20"/>
                <w:szCs w:val="20"/>
                <w:highlight w:val="yellow"/>
              </w:rPr>
              <w:t>teleterapia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braquiterapia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radiocirurgia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, procedimentos de sedação, planejamento de tratamento, confecção de máscaras / blocos.</w:t>
            </w:r>
            <w:r w:rsidRPr="00C23586">
              <w:rPr>
                <w:rFonts w:cs="Arial"/>
                <w:sz w:val="20"/>
                <w:szCs w:val="20"/>
              </w:rPr>
              <w:br/>
              <w:t>Entrevista com a equipe assistencial para avaliação sobre o entendimento dos protocolos estabelecidos. Plano de capacitação para desdobramento das diretrizes; Aplicação dos protocolos em prontuários. Método estabelecido para monitoramento da adesão da equipe assistencial aos protocolos estabelecidos.</w:t>
            </w:r>
          </w:p>
        </w:tc>
        <w:tc>
          <w:tcPr>
            <w:tcW w:w="50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187E9A" w:rsidRPr="00C23586" w:rsidRDefault="00187E9A" w:rsidP="00981B64">
            <w:pPr>
              <w:spacing w:after="0"/>
              <w:rPr>
                <w:rFonts w:cs="Arial"/>
                <w:color w:val="000000"/>
                <w:sz w:val="20"/>
                <w:szCs w:val="20"/>
              </w:rPr>
            </w:pPr>
            <w:r w:rsidRPr="00C23586">
              <w:rPr>
                <w:rFonts w:cs="Arial"/>
                <w:color w:val="000000"/>
                <w:sz w:val="20"/>
                <w:szCs w:val="20"/>
              </w:rPr>
              <w:br/>
            </w:r>
          </w:p>
        </w:tc>
      </w:tr>
      <w:tr w:rsidR="00187E9A" w:rsidRPr="00C23586" w:rsidTr="00F0086E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11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Compartilha com os pacientes e/ou familiares/acompanhantes as decisões relacionadas ao tratamento, de forma clara, considerando e respeitando as características do ouvinte, relação médico-paciente, ética profissional e sigilo das informações, registrando em prontuário.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Os pacientes e familiares/acompanhantes compreendem que tem direito a informações e de participar das decisões relacionadas ao tratamento (e de recusar algum tratamento ou manobras de ressuscitação). A instituição esclarece quem fornecerá as informações e como as decisões relacionadas ao tratamento devem ser registradas em prontuário.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Entrevistas à Equipe multiprofissional e pacientes/acompanhantes para avaliar a compreensão sobre o tratamento e o envolvimento nas decisões. Materiais informativos (folders, orientação registrada e folhetos explicativos, por exemplo) disponibilizados aos pacientes/familiares/acompanhantes como estratégia de comunicação. Registro em prontuário de informações e decisões compartilhadas com paciente/familiares/acompanhantes.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187E9A" w:rsidRDefault="00187E9A" w:rsidP="00981B64">
            <w:pPr>
              <w:spacing w:after="0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  <w:p w:rsidR="00187E9A" w:rsidRPr="00880391" w:rsidRDefault="00187E9A" w:rsidP="006B2BDB">
            <w:pPr>
              <w:pStyle w:val="PargrafodaLista"/>
              <w:spacing w:after="0"/>
              <w:ind w:left="214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87E9A" w:rsidRPr="00C23586" w:rsidTr="00F0086E">
        <w:trPr>
          <w:trHeight w:val="227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Aplica o termo de consentimento livre e esclarecido antes da realização de procedimentos de radioterapia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O termo de consentimento deve deixar claro os riscos e benefícios específicos de cada protocolo e procedimento para que o paciente/responsável avalie e opte pela proposta de forma livre de influência.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Diretrizes institucionais sobre aplicação de termos de consentimento e checar em prontuário a presença deste. Presença de assinaturas nos termos. </w:t>
            </w:r>
            <w:r w:rsidRPr="00C23586">
              <w:rPr>
                <w:rFonts w:cs="Arial"/>
                <w:sz w:val="20"/>
                <w:szCs w:val="20"/>
              </w:rPr>
              <w:br/>
              <w:t>Entrevistas à pacientes/responsáveis para entender o fluxo na prática.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667C" w:rsidRPr="00C23586" w:rsidRDefault="000B667C" w:rsidP="00981B64">
            <w:pPr>
              <w:pStyle w:val="PargrafodaLista"/>
              <w:spacing w:after="0"/>
              <w:ind w:left="147"/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187E9A" w:rsidRPr="00C23586" w:rsidTr="00584D2E">
        <w:trPr>
          <w:trHeight w:val="1922"/>
        </w:trPr>
        <w:tc>
          <w:tcPr>
            <w:tcW w:w="3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13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Estabelece e acompanha o plano terapêutico multidisciplinar.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Plano terapêutico multidisciplinar individualizado é um método estabelecido para a definição de propostas de condutas terapêuticas compostas por metas e resultados esperados a serem atingidos em determinado período de tempo pela equipe assistencial.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hideMark/>
          </w:tcPr>
          <w:p w:rsidR="00187E9A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Diretrizes estabelecidas para definição de plano terapêutico e acompanhamento da adesão pela equipe multidisciplinar; Entrevista à equipe multidisciplinar para avaliação do entendimento sobre as diretrizes estabelecidas; Aplicação da metodologia através dos registros em prontuários.</w:t>
            </w:r>
          </w:p>
          <w:p w:rsidR="00187E9A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</w:p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187E9A" w:rsidRPr="00357562" w:rsidRDefault="00187E9A" w:rsidP="00981B64">
            <w:pPr>
              <w:pStyle w:val="PargrafodaLista"/>
              <w:spacing w:after="0"/>
              <w:ind w:left="36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87E9A" w:rsidRPr="00C23586" w:rsidTr="004579AF">
        <w:trPr>
          <w:trHeight w:val="3855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14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proofErr w:type="gramStart"/>
            <w:r w:rsidRPr="00C23586">
              <w:rPr>
                <w:rFonts w:cs="Arial"/>
                <w:sz w:val="20"/>
                <w:szCs w:val="20"/>
              </w:rPr>
              <w:t>Considera</w:t>
            </w:r>
            <w:proofErr w:type="gramEnd"/>
            <w:r w:rsidRPr="00C23586">
              <w:rPr>
                <w:rFonts w:cs="Arial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Tradições, crenças, valores e culturas diferentes podem impactar no entendimento e/ou adesão dos pacientes/acompanhantes às orientações propostas.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Mecanismos definidos pela instituição para atendimento considerando as características individuais dos pacientes e como reconhecem estas necessidades; </w:t>
            </w:r>
            <w:r w:rsidRPr="00C23586">
              <w:rPr>
                <w:rFonts w:cs="Arial"/>
                <w:sz w:val="20"/>
                <w:szCs w:val="20"/>
              </w:rPr>
              <w:br/>
              <w:t xml:space="preserve">Orientação do uso de medicamentos e cuidados para pacientes analfabetos e estrangeiros, como identificam pacientes com nomes sociais e como desmistificam uso de medicamentos como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opióides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, por exemplo; Registros em prontuário se questões como </w:t>
            </w:r>
            <w:r w:rsidRPr="00724F65">
              <w:rPr>
                <w:rFonts w:cs="Arial"/>
                <w:b/>
                <w:sz w:val="20"/>
                <w:szCs w:val="20"/>
              </w:rPr>
              <w:t xml:space="preserve">sexualidade e fertilidade </w:t>
            </w:r>
            <w:r w:rsidRPr="00724F65">
              <w:rPr>
                <w:rFonts w:cs="Arial"/>
                <w:sz w:val="20"/>
                <w:szCs w:val="20"/>
              </w:rPr>
              <w:t xml:space="preserve">são </w:t>
            </w:r>
            <w:proofErr w:type="gramStart"/>
            <w:r w:rsidRPr="00724F65">
              <w:rPr>
                <w:rFonts w:cs="Arial"/>
                <w:sz w:val="20"/>
                <w:szCs w:val="20"/>
              </w:rPr>
              <w:t xml:space="preserve">discutidas antes dos tratamentos </w:t>
            </w:r>
            <w:proofErr w:type="spellStart"/>
            <w:r w:rsidRPr="00724F65">
              <w:rPr>
                <w:rFonts w:cs="Arial"/>
                <w:sz w:val="20"/>
                <w:szCs w:val="20"/>
              </w:rPr>
              <w:t>radioterapicos</w:t>
            </w:r>
            <w:proofErr w:type="spellEnd"/>
            <w:r w:rsidRPr="00724F65">
              <w:rPr>
                <w:rFonts w:cs="Arial"/>
                <w:sz w:val="20"/>
                <w:szCs w:val="20"/>
              </w:rPr>
              <w:t xml:space="preserve"> e respeitados pela equipe profissional</w:t>
            </w:r>
            <w:proofErr w:type="gramEnd"/>
            <w:r w:rsidRPr="00724F65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7E9A" w:rsidRPr="004579AF" w:rsidRDefault="00187E9A" w:rsidP="00981B64">
            <w:pPr>
              <w:pStyle w:val="PargrafodaLista"/>
              <w:tabs>
                <w:tab w:val="left" w:pos="214"/>
              </w:tabs>
              <w:spacing w:after="0" w:line="276" w:lineRule="auto"/>
              <w:ind w:left="147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87E9A" w:rsidRPr="00C23586" w:rsidTr="00584D2E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87E9A" w:rsidRPr="00C23586" w:rsidRDefault="00187E9A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A partir dos riscos assistenciais e vulnerabilidades identificadas a equipe multidisciplinar planeja a assistência/cuidados através do plano terapêutico, comunicação entre equipe assistencial e paciente/ cuidador e monitora a incidência de possíveis eventos adversos. Exemplos de vulnerabilidades: situações de abuso de substâncias, pacientes pediátricos, incapazes, entre outros. 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hideMark/>
          </w:tcPr>
          <w:p w:rsidR="00187E9A" w:rsidRPr="00C23586" w:rsidRDefault="00187E9A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Método utilizado pela equipe multidisciplinar para identificação, sinalização, definição de condutas, monitoramento da evolução e/ou incidência de eventos adversos. Avaliação de prontuários para verificar o registro multidisciplinar sobre os riscos e plano de cuidados estabelecido. Entrevistas à Equipe assistencial para avaliar entendimento sobre identificação de riscos e prevenção de danos. </w:t>
            </w:r>
            <w:r w:rsidRPr="00C23586">
              <w:rPr>
                <w:rFonts w:cs="Arial"/>
                <w:sz w:val="20"/>
                <w:szCs w:val="20"/>
              </w:rPr>
              <w:br/>
              <w:t>Entrevista com paciente/cuidador para avaliar a comunicação da equipe assistencial sobre o tema e adesão às diretrizes estabelecidas.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187E9A" w:rsidRPr="00DB3F34" w:rsidRDefault="00187E9A" w:rsidP="00981B64">
            <w:pPr>
              <w:spacing w:after="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151F70" w:rsidRPr="00C23586" w:rsidTr="00584D2E">
        <w:trPr>
          <w:trHeight w:val="2821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151F70" w:rsidRPr="00C23586" w:rsidRDefault="00151F70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16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Prontuário multidisciplinar possibilita a formalização da assistência prestada ao paciente, bem como a comunicação entre os profissionais para o planejamento da continuidade do cuidado.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Método estabelecido para atualização de registros do paciente em prontuário. </w:t>
            </w:r>
            <w:r w:rsidRPr="00C23586">
              <w:rPr>
                <w:rFonts w:cs="Arial"/>
                <w:sz w:val="20"/>
                <w:szCs w:val="20"/>
              </w:rPr>
              <w:br/>
              <w:t>Entrevistas à equipe assistencial para entendimento sobre as diretrizes estabelecidas pela organização e/ou Comissão de Prontuários sobre a padronização dos registros em prontuários; Registros multidisciplinares nos prontuários. Diretrizes estabelecidas pela comissão de prontuário sobre a padronização de registros e confrontar com as evoluções. Entrevistas às equipes multidisciplinares para entender o conhecimento destas quanto as diretrizes estabelecidas em relação aos registros em prontuário.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1F70" w:rsidRPr="00C23586" w:rsidRDefault="00151F70" w:rsidP="00981B64">
            <w:pPr>
              <w:pStyle w:val="PargrafodaLista"/>
              <w:tabs>
                <w:tab w:val="left" w:pos="5"/>
                <w:tab w:val="left" w:pos="147"/>
              </w:tabs>
              <w:spacing w:after="0"/>
              <w:ind w:left="147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151F70" w:rsidRPr="00C23586" w:rsidTr="00584D2E">
        <w:trPr>
          <w:trHeight w:val="2725"/>
        </w:trPr>
        <w:tc>
          <w:tcPr>
            <w:tcW w:w="3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51F70" w:rsidRPr="00C23586" w:rsidRDefault="00151F70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17</w:t>
            </w:r>
          </w:p>
        </w:tc>
        <w:tc>
          <w:tcPr>
            <w:tcW w:w="21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com as diretrizes dos protocolos de segurança do paciente.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Os protocolos de segurança do paciente precisam estar alinhados às políticas institucionais, e podem incluir a identificação segura do paciente, prevenção de quedas, procedimento seguro e prevenção de efeitos colaterais, tais como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radiodermite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, por exemplo.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Processos alinhados às diretrizes formalizadas no plano de segurança do paciente da organização, tais como prevenção de queda, identificação do paciente, procedimento seguro e higienização das mãos. </w:t>
            </w:r>
            <w:proofErr w:type="gramStart"/>
            <w:r w:rsidRPr="00C23586">
              <w:rPr>
                <w:rFonts w:cs="Arial"/>
                <w:sz w:val="20"/>
                <w:szCs w:val="20"/>
              </w:rPr>
              <w:t>prevenção</w:t>
            </w:r>
            <w:proofErr w:type="gramEnd"/>
            <w:r w:rsidRPr="00C23586">
              <w:rPr>
                <w:rFonts w:cs="Arial"/>
                <w:sz w:val="20"/>
                <w:szCs w:val="20"/>
              </w:rPr>
              <w:t xml:space="preserve"> e controle de infecção; administração segura de medicamentos. Evidências de barreiras ou medidas preventivas para evitar ou minimizar danos relacionados aos riscos identificados.</w:t>
            </w:r>
            <w:r w:rsidRPr="00C23586">
              <w:rPr>
                <w:rFonts w:cs="Arial"/>
                <w:sz w:val="20"/>
                <w:szCs w:val="20"/>
              </w:rPr>
              <w:br/>
              <w:t>Entrevistas à equipe multiprofissional para avaliar compreensão dos mesmos em relação aos protocolos.</w:t>
            </w:r>
          </w:p>
        </w:tc>
        <w:tc>
          <w:tcPr>
            <w:tcW w:w="50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51F70" w:rsidRPr="00C23586" w:rsidRDefault="00C96423" w:rsidP="00981B64">
            <w:pPr>
              <w:pStyle w:val="PargrafodaLista"/>
              <w:tabs>
                <w:tab w:val="left" w:pos="356"/>
              </w:tabs>
              <w:spacing w:after="0" w:line="276" w:lineRule="auto"/>
              <w:ind w:left="115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151F70" w:rsidRPr="00C23586" w:rsidTr="005E14DC">
        <w:trPr>
          <w:trHeight w:val="3826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151F70" w:rsidRPr="00C23586" w:rsidRDefault="00151F70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Protocolos podem incluir higienização de mãos, o uso correto de EPIs e a organização e limpeza dos ambientes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Verificação da segurança da estrutura física das áreas conforme as legislações vigentes. Verificação da presença e adequação do acondicionamento de resíduos e seu fluxo de saída da área. Disponibilização de álcool gel e pias com sabonete para higiene de mãos. Higienização e guarda dos "Imobilizadores" ou acessórios para esta mesma finalizada. Cuidados específicos para pacientes em terapia que apresentam germe multirresistente.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3786F" w:rsidRPr="0063786F" w:rsidRDefault="00F87154" w:rsidP="00981B64">
            <w:pPr>
              <w:pStyle w:val="PargrafodaLista"/>
              <w:tabs>
                <w:tab w:val="left" w:pos="289"/>
              </w:tabs>
              <w:spacing w:after="0" w:line="276" w:lineRule="auto"/>
              <w:ind w:left="147"/>
              <w:jc w:val="left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151F70" w:rsidRPr="00C23586" w:rsidTr="005E14DC">
        <w:trPr>
          <w:trHeight w:val="2963"/>
        </w:trPr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8080" w:fill="008080"/>
            <w:vAlign w:val="center"/>
            <w:hideMark/>
          </w:tcPr>
          <w:p w:rsidR="00151F70" w:rsidRPr="00C23586" w:rsidRDefault="00151F70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19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o protocolo multidisciplinar para a segurança da cadeia medicamentosa.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Participa da elaboração/construção do protocolo. Existe um documento que define os papéis e responsabilidades para o gerenciamento de medicamentos (sistema de padronização, aquisição, prescrição, administração e controles de estoque).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F70" w:rsidRPr="00C23586" w:rsidRDefault="00151F70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Existência de uma lista de medicamentos padronizados (prontamente disponíveis) e processo seguro para o cumprimento da prescrição médica. Presença de medicamentos para atendimentos de urgência/emergência e o conhecimento da equipe sobre o processo destes atendimentos específicos.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1F70" w:rsidRPr="00C23586" w:rsidRDefault="00C8784E" w:rsidP="00981B64">
            <w:pPr>
              <w:pStyle w:val="PargrafodaLista"/>
              <w:spacing w:after="0"/>
              <w:ind w:left="360"/>
              <w:rPr>
                <w:rFonts w:cs="Arial"/>
                <w:sz w:val="20"/>
                <w:szCs w:val="20"/>
              </w:rPr>
            </w:pPr>
            <w:r w:rsidRPr="00C8784E">
              <w:rPr>
                <w:rFonts w:cs="Arial"/>
                <w:b/>
                <w:sz w:val="20"/>
                <w:szCs w:val="20"/>
              </w:rPr>
              <w:t xml:space="preserve"> </w:t>
            </w:r>
          </w:p>
        </w:tc>
      </w:tr>
      <w:tr w:rsidR="006C2F32" w:rsidRPr="00C23586" w:rsidTr="00EA7962">
        <w:trPr>
          <w:trHeight w:val="3196"/>
        </w:trPr>
        <w:tc>
          <w:tcPr>
            <w:tcW w:w="3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20</w:t>
            </w:r>
          </w:p>
        </w:tc>
        <w:tc>
          <w:tcPr>
            <w:tcW w:w="21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os critérios e procedimentos de segurança para a utilização de materiais, com base em diretrizes e evidências científicas.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Processos são instituídos para a garantia de acesso facilitado a informações atualizadas sobre uso correto de imobilizadores, aventais de chumbo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dosímentros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, por exemplo. Identificação da necessidade de capacitação das equipes e treinamentos específicos são realizados sistematicamente.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Guarda adequada e conservação dos imobilizadores e aventais de chumbo. </w:t>
            </w:r>
            <w:r w:rsidRPr="00C23586">
              <w:rPr>
                <w:rFonts w:cs="Arial"/>
                <w:sz w:val="20"/>
                <w:szCs w:val="20"/>
              </w:rPr>
              <w:br/>
              <w:t xml:space="preserve">Controle dos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dosimentros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. Treinamentos sobre a segurança na utilização de materiais.</w:t>
            </w:r>
          </w:p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POP de limpeza dos </w:t>
            </w:r>
            <w:proofErr w:type="spellStart"/>
            <w:r>
              <w:rPr>
                <w:rFonts w:cs="Arial"/>
                <w:sz w:val="20"/>
                <w:szCs w:val="20"/>
              </w:rPr>
              <w:t>imobilizadoes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50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EA7962" w:rsidRPr="00A2312B" w:rsidRDefault="00EA7962" w:rsidP="00981B64">
            <w:pPr>
              <w:pStyle w:val="PargrafodaLista"/>
              <w:spacing w:after="0"/>
              <w:ind w:left="360"/>
              <w:rPr>
                <w:rFonts w:cs="Arial"/>
                <w:sz w:val="20"/>
                <w:szCs w:val="20"/>
              </w:rPr>
            </w:pPr>
          </w:p>
        </w:tc>
      </w:tr>
      <w:tr w:rsidR="006C2F32" w:rsidRPr="00C23586" w:rsidTr="0096518B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21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os critérios e procedimentos de segurança para a utilização de equipamentos, com base em diretrizes e evidências científicas.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Processos são instituídos para a garantia de acesso facilitado a informações atualizadas sobre equipamentos e identificação da necessidade de capacitação das equipes para uso correto e seguro.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Documentos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orientativos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disponíveis e de fácil acesso para utilização segura de equipamentos. Evidências que comprovem a calibração para equipamentos de medição </w:t>
            </w:r>
            <w:r w:rsidRPr="0040511F">
              <w:rPr>
                <w:rFonts w:cs="Arial"/>
                <w:b/>
                <w:sz w:val="20"/>
                <w:szCs w:val="20"/>
              </w:rPr>
              <w:t>e teste de segurança elétrica para equipamentos</w:t>
            </w:r>
            <w:r w:rsidRPr="00C23586">
              <w:rPr>
                <w:rFonts w:cs="Arial"/>
                <w:sz w:val="20"/>
                <w:szCs w:val="20"/>
              </w:rPr>
              <w:t xml:space="preserve"> médicos conforme periodicidade estabelecida pela organização. Equipamentos em boas condições de instalação e segurança ao uso. </w:t>
            </w:r>
            <w:r w:rsidRPr="0040511F">
              <w:rPr>
                <w:rFonts w:cs="Arial"/>
                <w:b/>
                <w:sz w:val="20"/>
                <w:szCs w:val="20"/>
              </w:rPr>
              <w:t>Rotinas de limpezas dos equipamentos formalizados e validados pelas diretrizes de Controle de Infecção.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96518B" w:rsidRPr="00D67A2D" w:rsidRDefault="0096518B" w:rsidP="00981B64">
            <w:pPr>
              <w:pStyle w:val="PargrafodaLista"/>
              <w:spacing w:after="0"/>
              <w:ind w:left="36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C2F32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22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O plano de gerenciamento de resíduos é atualizado periodicamente e é de conhecimento das equipes de assistência radioterápica, compreendendo o descarte adequado de sobras de medicamentos, descarte de materiais médicos e equipamentos de proteção individuais, por exemplo. Rejeitos radioativos podem ser tratados no Plano de Radioproteção.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Segurança da área de guarda temporária de resíduos. Critérios específicos de segregação e descarte de resíduos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perfurocortantes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de medicamentos e materiais médicos com prazo de validade expirado e/ou inadequados ao uso.</w:t>
            </w:r>
            <w:r w:rsidRPr="00C23586">
              <w:rPr>
                <w:rFonts w:cs="Arial"/>
                <w:sz w:val="20"/>
                <w:szCs w:val="20"/>
              </w:rPr>
              <w:br/>
              <w:t>Contrato com fornecedor de serviço de recolhimento de resíduo químico e biológico. Conhecimento das equipes quanto à segregação de resíduos mais críticos.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C2F32" w:rsidRPr="003E4EB3" w:rsidRDefault="006C2F32" w:rsidP="00981B64">
            <w:pPr>
              <w:pStyle w:val="PargrafodaLista"/>
              <w:spacing w:after="0"/>
              <w:ind w:left="36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C2F32" w:rsidRPr="00C23586" w:rsidTr="00C854DA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23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Identifica os sinais de deterioração clínica e cumpre o protocolo de atendimento destes pacientes/clientes.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A instabilidade clínica é traduzida pela alteração dos sinais vitais, associada a outros dados clínicos neurológicos, respiratórios e cardiovasculares. A utilização de critérios para identificação de instabilidade clínica e fluxos de acionamento para atendimento de urgências e emergências melhora a comunicação entre a equipe assistencial promovendo agilidade e segurança nos cuidados com o paciente.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Protocolo atualizado contendo os critérios para identificação de instabilidade clínica e fluxos de acionamento para atendimento de urgências e emergências; Entrevista a à equipe assistencial para avaliação do entendimento sobre as diretrizes do protocolo estabelecido; Aplicação do protocolo através de registros em prontuário.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D907EF" w:rsidRPr="00322D0D" w:rsidRDefault="00D907EF" w:rsidP="00981B64">
            <w:pPr>
              <w:pStyle w:val="PargrafodaLista"/>
              <w:spacing w:after="0"/>
              <w:ind w:left="360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C2F32" w:rsidRPr="00C23586" w:rsidTr="00322D0D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24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Estabelece o protocolo para atendimento de urgências e emergências, com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base em diretrizes e evidências científicas.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As instituições que prestam assistência ao paciente em tratamento de radioterapia devem ter critérios definidos para identificação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de agravamento das condições dos pacientes e consequente atendimento de urgências. O atendimento de emergências, como o atendimento de parada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cardiorrespitoria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está prontamente disponível e a forma de acionamento deve ser do conhecimento das equipes.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2EFDA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Existência de fluxos e protocolos de atendimento de urgência e emergência direcionados à assistência em radioterapia com definição de papéis da equipe multiprofissional; Fluxo de atendimento de parada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lastRenderedPageBreak/>
              <w:t>cardiorespiratória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; </w:t>
            </w:r>
            <w:r w:rsidRPr="00C23586">
              <w:rPr>
                <w:rFonts w:cs="Arial"/>
                <w:sz w:val="20"/>
                <w:szCs w:val="20"/>
              </w:rPr>
              <w:br/>
              <w:t>Materiais e equipamentos disponíveis para o atendimento emergencial.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6C2F32" w:rsidRPr="00C23586" w:rsidRDefault="006C2F32" w:rsidP="00981B64">
            <w:pPr>
              <w:pStyle w:val="PargrafodaLista"/>
              <w:spacing w:after="0"/>
              <w:ind w:left="360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C2F32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25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Cumpre as diretrizes institucionais de transição do cuidado, com troca de informação para a continuidade da assistência.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Durante as transições de cuidados bem como transferências internas (encaminhamento do paciente entre setores da instituição) e externas (transferência para outro serviço) as informações relevantes para a continuidade do tratamento devem estar completas e disponíveis.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Verificar se há definição de quais informações são essenciais para continuidade dos cuidados (podem incluir alergias conhecidas, volume tratado, dose de radiação e técnica utilizada, reações adversas apresentadas, entre outras) e de que forma ficam disponíveis no prontuário para que não se perca qualidade na assistência quando há troca de profissional no cuidado do paciente. Entrevistar membros da equipe multiprofissional para avaliar o conhecimento das diretrizes de transição de cuidados. Checar em prontuário as informações disponibilizadas.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C2F32" w:rsidRPr="00C23586" w:rsidRDefault="006C2F32" w:rsidP="00981B64">
            <w:pPr>
              <w:pStyle w:val="PargrafodaLista"/>
              <w:spacing w:after="0" w:line="276" w:lineRule="auto"/>
              <w:ind w:left="5"/>
              <w:jc w:val="left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C2F32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26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intra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extra hospitalar dos pacientes/clientes.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O tipo de transporte dependerá da condição do paciente assim como o perfil do profissional que realizará e/ou acompanhará o paciente. Uma diretriz deverá definir como, quando e por quem o transporte será efetuado bem como a necessidade de equipamentos, acompanhamento médico e tipo de suporte de vida (no caso das ambulâncias: suporte básico ou avançado). O transporte/ambulância para o trajeto deve ser validado pela equipe multiprofissional. Serviços terceirizados de transporte devem ser homologados formalmente.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Verificar a existência de fluxo formal de transporte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intra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extra instituição. Verificar as condições dos equipamentos/veículos de transporte e as manutenções preventivas. Verificar os registros de higienização conforme diretrizes de controle de infecção ou instância responsável na instituição (incluindo ambulâncias). Avaliar como é monitorada a segurança e qualidade do processo de transporte, bem como o tempo de espera e satisfação da equipe assistencial. Verificar a homologação do transporte realizado por serviços terceiros.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C2F32" w:rsidRPr="00981B64" w:rsidRDefault="006C2F32" w:rsidP="00981B64">
            <w:pPr>
              <w:spacing w:after="0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6C2F32" w:rsidRPr="00C23586" w:rsidTr="000D6AAD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27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Define e monitora fluxo de referência e contra referência para os pacientes oncológicos submetidos a radioterapia, em regime de atendimento ambulatorial ou hospitalar.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Referência e contra referência devem ser organizadas para garantia do acesso aos pacientes a todas as etapas do tratamento em tempo hábil.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Verificar a </w:t>
            </w:r>
            <w:r w:rsidRPr="00B6786E">
              <w:rPr>
                <w:rFonts w:cs="Arial"/>
                <w:sz w:val="20"/>
                <w:szCs w:val="20"/>
              </w:rPr>
              <w:t>formalização das diretrizes e fluxos relacionados a referência e contra referência.</w:t>
            </w:r>
            <w:r w:rsidRPr="00C23586">
              <w:rPr>
                <w:rFonts w:cs="Arial"/>
                <w:sz w:val="20"/>
                <w:szCs w:val="20"/>
              </w:rPr>
              <w:t xml:space="preserve"> Avaliar a segurança do fluxo definido para atendimento de parada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cardiorespiratória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outras situações críticas quando realizada por outra referência. Verificar a documentação e registros obrigatórios nos casos de encaminhamento dos pacientes a outros serviços.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6C2F32" w:rsidRPr="0063108F" w:rsidRDefault="006C2F32" w:rsidP="00981B64">
            <w:pPr>
              <w:pStyle w:val="PargrafodaLista"/>
              <w:spacing w:after="0"/>
              <w:ind w:left="360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6C2F32" w:rsidRPr="00C23586" w:rsidTr="00206CE1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28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Cumpre as diretrizes de notificação de incidentes e eventos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adversos.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Os incidentes são situações que poderiam resultar, ou resultaram, em dano desnecessário para o paciente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(evento adverso). Exemplos são quedas e queimaduras graves por exemplo.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lastRenderedPageBreak/>
              <w:t xml:space="preserve">Verificar a Política de Qualidade e Segurança quanto às diretrizes de notificação. Verificar se os registros internos estão condizentes com a referida Política. Verificar </w:t>
            </w:r>
            <w:r w:rsidRPr="00C23586">
              <w:rPr>
                <w:rFonts w:cs="Arial"/>
                <w:sz w:val="20"/>
                <w:szCs w:val="20"/>
              </w:rPr>
              <w:lastRenderedPageBreak/>
              <w:t>notificações de eventos graves. Avaliar a pertinência da notificação aos órgãos competentes Agência Nacional de Vigilância Sanitária, Conselho Nacional de Energia Nuclear e Organização Nacional de Acreditaçã</w:t>
            </w:r>
            <w:r w:rsidRPr="00C23586">
              <w:rPr>
                <w:rFonts w:cs="Arial"/>
                <w:b/>
                <w:bCs/>
                <w:sz w:val="20"/>
                <w:szCs w:val="20"/>
              </w:rPr>
              <w:t>o</w:t>
            </w:r>
            <w:r w:rsidRPr="00C23586">
              <w:rPr>
                <w:rFonts w:cs="Arial"/>
                <w:sz w:val="20"/>
                <w:szCs w:val="20"/>
              </w:rPr>
              <w:t>. Entrevistar equipe multiprofissional para avaliar entendimento sobre os canais de notificação e importância da mesma para a melhoria dos processos.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6C2F32" w:rsidRPr="00206CE1" w:rsidRDefault="006C2F32" w:rsidP="00981B64">
            <w:pPr>
              <w:pStyle w:val="PargrafodaLista"/>
              <w:spacing w:after="0"/>
              <w:ind w:left="289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6C2F32" w:rsidRPr="00C23586" w:rsidTr="00206CE1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29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Cumpre as diretrizes de notificação de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farmacovigilância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tecnovigilância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A instituição estabelece um processo para notificações internas e para a</w:t>
            </w:r>
            <w:r w:rsidRPr="00C2358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C23586">
              <w:rPr>
                <w:rFonts w:cs="Arial"/>
                <w:sz w:val="20"/>
                <w:szCs w:val="20"/>
              </w:rPr>
              <w:t xml:space="preserve">Agência Nacional de Vigilância Sanitária (através do NOTIVISA) de eventos de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farmacovigilância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tecnovigilância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. Monitora o cumprimento das diretrizes, como o tempo entre a ocorrência do evento e notificação, prazos para análises e planos de ações.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Notificações de eventos de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farmacovigilância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C23586">
              <w:rPr>
                <w:rFonts w:cs="Arial"/>
                <w:sz w:val="20"/>
                <w:szCs w:val="20"/>
              </w:rPr>
              <w:t>tecnovigilância</w:t>
            </w:r>
            <w:proofErr w:type="spellEnd"/>
            <w:r w:rsidRPr="00C23586">
              <w:rPr>
                <w:rFonts w:cs="Arial"/>
                <w:sz w:val="20"/>
                <w:szCs w:val="20"/>
              </w:rPr>
              <w:t>, comparando-os com o processo estabelecido; Conhecimento da equipe multiprofissional sobre o processo de notificação de reações adversas a medicamentos e queixas técnicas de medicamentos, materiais e equipamento médicos; Análise de notificações para entender o cumprimento das diretrizes.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6C2F32" w:rsidRPr="00C23586" w:rsidRDefault="006C2F32" w:rsidP="00981B64">
            <w:pPr>
              <w:pStyle w:val="PargrafodaLista"/>
              <w:spacing w:after="0"/>
              <w:ind w:left="147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6C2F32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6C2F32" w:rsidRPr="00C23586" w:rsidRDefault="006C2F32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30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Dispõe de plano de alta multidisciplinar de conhecimento do paciente/cliente/responsável legal para a continuidade do cuidado.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>O plano de alta multidisciplinar possibilita a comunicação/ orientação entre a equipe assistencial com o paciente / familiar sobre os cuidados para continuidade do tratamento no domicílio/unidade de referência.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6C2F32" w:rsidRPr="00C23586" w:rsidRDefault="006C2F32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Definição de critérios para planejamento de alta multidisciplinar considerando orientação aos pacientes/ família e comunicação com as unidades assistenciais/ instituições de referência responsáveis pela continuidade do cuidado; </w:t>
            </w:r>
            <w:r w:rsidRPr="00C23586">
              <w:rPr>
                <w:rFonts w:cs="Arial"/>
                <w:sz w:val="20"/>
                <w:szCs w:val="20"/>
              </w:rPr>
              <w:br/>
              <w:t>Entrevistas à equipe assistencial e paciente/ familiar sobre a aplicação do plano de alta; Análise de prontuário os registros de um processo de planejamento de alta multidisciplinar.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74BEE" w:rsidRPr="00174BEE" w:rsidRDefault="00CE5414" w:rsidP="00EE7CBF">
            <w:pPr>
              <w:spacing w:after="0"/>
              <w:jc w:val="lef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CA3933" w:rsidRPr="00C23586" w:rsidTr="00D907EF">
        <w:trPr>
          <w:trHeight w:val="227"/>
        </w:trPr>
        <w:tc>
          <w:tcPr>
            <w:tcW w:w="3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8080" w:fill="008080"/>
            <w:vAlign w:val="center"/>
            <w:hideMark/>
          </w:tcPr>
          <w:p w:rsidR="00CA3933" w:rsidRPr="00C23586" w:rsidRDefault="00CA3933" w:rsidP="005E5EF5">
            <w:pPr>
              <w:spacing w:after="0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C23586">
              <w:rPr>
                <w:rFonts w:cs="Arial"/>
                <w:b/>
                <w:bCs/>
                <w:color w:val="FFFFFF"/>
                <w:sz w:val="20"/>
                <w:szCs w:val="20"/>
              </w:rPr>
              <w:t>31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CA3933" w:rsidRPr="00C23586" w:rsidRDefault="00CA3933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Estabelece protocolo de identificação, prevenção e acompanhamento de risco para suicídio, alinhada a diretriz institucional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CA3933" w:rsidRPr="00C23586" w:rsidRDefault="00CA3933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Protocolo descrito e formalizado com as determinações de como a Organização/profissionais devem agir diante destas situações, considerando o papel e a responsabilidade de cada membro da Equipe, e as interfaces com as partes interessadas.  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CA3933" w:rsidRPr="00C23586" w:rsidRDefault="00CA3933" w:rsidP="005E5EF5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C23586">
              <w:rPr>
                <w:rFonts w:cs="Arial"/>
                <w:sz w:val="20"/>
                <w:szCs w:val="20"/>
              </w:rPr>
              <w:t xml:space="preserve">Protocolo de identificação, prevenção e acompanhamento de risco para suicídio, disseminado para toda a Organização. 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A3933" w:rsidRPr="00C23586" w:rsidRDefault="00CA3933" w:rsidP="00981B64">
            <w:pPr>
              <w:pStyle w:val="PargrafodaLista"/>
              <w:spacing w:after="0"/>
              <w:ind w:left="360"/>
              <w:rPr>
                <w:rFonts w:cs="Arial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C23586" w:rsidRDefault="00C23586" w:rsidP="00C23586"/>
    <w:p w:rsidR="00C23586" w:rsidRDefault="00C23586"/>
    <w:sectPr w:rsidR="00C23586" w:rsidSect="00C23586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1054"/>
    <w:multiLevelType w:val="hybridMultilevel"/>
    <w:tmpl w:val="564E87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5F6D"/>
    <w:multiLevelType w:val="hybridMultilevel"/>
    <w:tmpl w:val="4D680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9627E"/>
    <w:multiLevelType w:val="hybridMultilevel"/>
    <w:tmpl w:val="ACBACA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FD6560"/>
    <w:multiLevelType w:val="hybridMultilevel"/>
    <w:tmpl w:val="CB16BE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4E0F1E"/>
    <w:multiLevelType w:val="hybridMultilevel"/>
    <w:tmpl w:val="66BCB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5766A7"/>
    <w:multiLevelType w:val="hybridMultilevel"/>
    <w:tmpl w:val="E8A6B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1E71E2"/>
    <w:multiLevelType w:val="hybridMultilevel"/>
    <w:tmpl w:val="51FE0BAA"/>
    <w:lvl w:ilvl="0" w:tplc="04160005">
      <w:start w:val="1"/>
      <w:numFmt w:val="bullet"/>
      <w:lvlText w:val=""/>
      <w:lvlJc w:val="left"/>
      <w:pPr>
        <w:ind w:left="93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7">
    <w:nsid w:val="233E48A5"/>
    <w:multiLevelType w:val="hybridMultilevel"/>
    <w:tmpl w:val="2642F678"/>
    <w:lvl w:ilvl="0" w:tplc="2E1A0D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CF3379"/>
    <w:multiLevelType w:val="hybridMultilevel"/>
    <w:tmpl w:val="4ABECD94"/>
    <w:lvl w:ilvl="0" w:tplc="5B4CED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4B6FE0"/>
    <w:multiLevelType w:val="hybridMultilevel"/>
    <w:tmpl w:val="5C5237E8"/>
    <w:lvl w:ilvl="0" w:tplc="04160005">
      <w:start w:val="1"/>
      <w:numFmt w:val="bullet"/>
      <w:lvlText w:val=""/>
      <w:lvlJc w:val="left"/>
      <w:pPr>
        <w:ind w:left="47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0">
    <w:nsid w:val="29206E89"/>
    <w:multiLevelType w:val="hybridMultilevel"/>
    <w:tmpl w:val="A4DC34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403B81"/>
    <w:multiLevelType w:val="hybridMultilevel"/>
    <w:tmpl w:val="108652A0"/>
    <w:lvl w:ilvl="0" w:tplc="0416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2CEB613D"/>
    <w:multiLevelType w:val="hybridMultilevel"/>
    <w:tmpl w:val="5D80881A"/>
    <w:lvl w:ilvl="0" w:tplc="B8E01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DF052F"/>
    <w:multiLevelType w:val="hybridMultilevel"/>
    <w:tmpl w:val="A48E86DA"/>
    <w:lvl w:ilvl="0" w:tplc="E690A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921F59"/>
    <w:multiLevelType w:val="hybridMultilevel"/>
    <w:tmpl w:val="B4B4D13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1536D9"/>
    <w:multiLevelType w:val="hybridMultilevel"/>
    <w:tmpl w:val="9CDAD9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DC220A"/>
    <w:multiLevelType w:val="hybridMultilevel"/>
    <w:tmpl w:val="63761EDC"/>
    <w:lvl w:ilvl="0" w:tplc="0416000D">
      <w:start w:val="1"/>
      <w:numFmt w:val="bullet"/>
      <w:lvlText w:val=""/>
      <w:lvlJc w:val="left"/>
      <w:pPr>
        <w:ind w:left="7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7">
    <w:nsid w:val="44861E01"/>
    <w:multiLevelType w:val="hybridMultilevel"/>
    <w:tmpl w:val="844278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B17F4E"/>
    <w:multiLevelType w:val="hybridMultilevel"/>
    <w:tmpl w:val="CF5A290C"/>
    <w:lvl w:ilvl="0" w:tplc="2E1A0D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2611F1"/>
    <w:multiLevelType w:val="hybridMultilevel"/>
    <w:tmpl w:val="111C9FE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97390E"/>
    <w:multiLevelType w:val="hybridMultilevel"/>
    <w:tmpl w:val="393AD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406BA9"/>
    <w:multiLevelType w:val="hybridMultilevel"/>
    <w:tmpl w:val="F750494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EC21BF"/>
    <w:multiLevelType w:val="hybridMultilevel"/>
    <w:tmpl w:val="A7BC4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B67131"/>
    <w:multiLevelType w:val="hybridMultilevel"/>
    <w:tmpl w:val="C0F0507A"/>
    <w:lvl w:ilvl="0" w:tplc="D64A6B9C">
      <w:start w:val="1"/>
      <w:numFmt w:val="bullet"/>
      <w:lvlText w:val=""/>
      <w:lvlJc w:val="left"/>
      <w:pPr>
        <w:ind w:left="725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4">
    <w:nsid w:val="562C2B38"/>
    <w:multiLevelType w:val="hybridMultilevel"/>
    <w:tmpl w:val="85EAD2FE"/>
    <w:lvl w:ilvl="0" w:tplc="04160005">
      <w:start w:val="1"/>
      <w:numFmt w:val="bullet"/>
      <w:lvlText w:val=""/>
      <w:lvlJc w:val="left"/>
      <w:pPr>
        <w:ind w:left="7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5">
    <w:nsid w:val="56845EA6"/>
    <w:multiLevelType w:val="hybridMultilevel"/>
    <w:tmpl w:val="8E9A0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984847"/>
    <w:multiLevelType w:val="hybridMultilevel"/>
    <w:tmpl w:val="196EE4F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B768FB"/>
    <w:multiLevelType w:val="hybridMultilevel"/>
    <w:tmpl w:val="62969668"/>
    <w:lvl w:ilvl="0" w:tplc="2E1A0D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EE5BE8"/>
    <w:multiLevelType w:val="hybridMultilevel"/>
    <w:tmpl w:val="282A2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0D0BDD"/>
    <w:multiLevelType w:val="hybridMultilevel"/>
    <w:tmpl w:val="864A63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8048CE"/>
    <w:multiLevelType w:val="hybridMultilevel"/>
    <w:tmpl w:val="B7E8CF4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305F8D"/>
    <w:multiLevelType w:val="hybridMultilevel"/>
    <w:tmpl w:val="F8E89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D22EE7"/>
    <w:multiLevelType w:val="hybridMultilevel"/>
    <w:tmpl w:val="FC0886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2D469E"/>
    <w:multiLevelType w:val="hybridMultilevel"/>
    <w:tmpl w:val="98C2C1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163B43"/>
    <w:multiLevelType w:val="hybridMultilevel"/>
    <w:tmpl w:val="67AA3A2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25"/>
  </w:num>
  <w:num w:numId="4">
    <w:abstractNumId w:val="1"/>
  </w:num>
  <w:num w:numId="5">
    <w:abstractNumId w:val="5"/>
  </w:num>
  <w:num w:numId="6">
    <w:abstractNumId w:val="22"/>
  </w:num>
  <w:num w:numId="7">
    <w:abstractNumId w:val="28"/>
  </w:num>
  <w:num w:numId="8">
    <w:abstractNumId w:val="31"/>
  </w:num>
  <w:num w:numId="9">
    <w:abstractNumId w:val="18"/>
  </w:num>
  <w:num w:numId="10">
    <w:abstractNumId w:val="23"/>
  </w:num>
  <w:num w:numId="11">
    <w:abstractNumId w:val="6"/>
  </w:num>
  <w:num w:numId="12">
    <w:abstractNumId w:val="16"/>
  </w:num>
  <w:num w:numId="13">
    <w:abstractNumId w:val="24"/>
  </w:num>
  <w:num w:numId="14">
    <w:abstractNumId w:val="15"/>
  </w:num>
  <w:num w:numId="15">
    <w:abstractNumId w:val="10"/>
  </w:num>
  <w:num w:numId="16">
    <w:abstractNumId w:val="21"/>
  </w:num>
  <w:num w:numId="17">
    <w:abstractNumId w:val="29"/>
  </w:num>
  <w:num w:numId="18">
    <w:abstractNumId w:val="34"/>
  </w:num>
  <w:num w:numId="19">
    <w:abstractNumId w:val="12"/>
  </w:num>
  <w:num w:numId="20">
    <w:abstractNumId w:val="32"/>
  </w:num>
  <w:num w:numId="21">
    <w:abstractNumId w:val="27"/>
  </w:num>
  <w:num w:numId="22">
    <w:abstractNumId w:val="33"/>
  </w:num>
  <w:num w:numId="23">
    <w:abstractNumId w:val="30"/>
  </w:num>
  <w:num w:numId="24">
    <w:abstractNumId w:val="17"/>
  </w:num>
  <w:num w:numId="25">
    <w:abstractNumId w:val="20"/>
  </w:num>
  <w:num w:numId="26">
    <w:abstractNumId w:val="0"/>
  </w:num>
  <w:num w:numId="27">
    <w:abstractNumId w:val="8"/>
  </w:num>
  <w:num w:numId="28">
    <w:abstractNumId w:val="9"/>
  </w:num>
  <w:num w:numId="29">
    <w:abstractNumId w:val="26"/>
  </w:num>
  <w:num w:numId="30">
    <w:abstractNumId w:val="2"/>
  </w:num>
  <w:num w:numId="31">
    <w:abstractNumId w:val="3"/>
  </w:num>
  <w:num w:numId="32">
    <w:abstractNumId w:val="19"/>
  </w:num>
  <w:num w:numId="33">
    <w:abstractNumId w:val="14"/>
  </w:num>
  <w:num w:numId="34">
    <w:abstractNumId w:val="11"/>
  </w:num>
  <w:num w:numId="35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586"/>
    <w:rsid w:val="0001540C"/>
    <w:rsid w:val="0002245A"/>
    <w:rsid w:val="0002588B"/>
    <w:rsid w:val="000260F0"/>
    <w:rsid w:val="00030DC2"/>
    <w:rsid w:val="00033D66"/>
    <w:rsid w:val="00035AA0"/>
    <w:rsid w:val="00054F50"/>
    <w:rsid w:val="00071436"/>
    <w:rsid w:val="00083935"/>
    <w:rsid w:val="00086F81"/>
    <w:rsid w:val="000873B5"/>
    <w:rsid w:val="00091A28"/>
    <w:rsid w:val="00097805"/>
    <w:rsid w:val="000B1710"/>
    <w:rsid w:val="000B667C"/>
    <w:rsid w:val="000C723B"/>
    <w:rsid w:val="000D6AAD"/>
    <w:rsid w:val="000E3239"/>
    <w:rsid w:val="000F0F87"/>
    <w:rsid w:val="00101B43"/>
    <w:rsid w:val="001055F7"/>
    <w:rsid w:val="00112172"/>
    <w:rsid w:val="00112B14"/>
    <w:rsid w:val="00115427"/>
    <w:rsid w:val="001174F1"/>
    <w:rsid w:val="00130745"/>
    <w:rsid w:val="00133DAD"/>
    <w:rsid w:val="0013718E"/>
    <w:rsid w:val="001415D1"/>
    <w:rsid w:val="00151F70"/>
    <w:rsid w:val="001627DA"/>
    <w:rsid w:val="00165D5D"/>
    <w:rsid w:val="00167BBA"/>
    <w:rsid w:val="00174BEE"/>
    <w:rsid w:val="00181D57"/>
    <w:rsid w:val="00183116"/>
    <w:rsid w:val="00187E9A"/>
    <w:rsid w:val="001A6B91"/>
    <w:rsid w:val="001B04CF"/>
    <w:rsid w:val="001C7ABA"/>
    <w:rsid w:val="001D229C"/>
    <w:rsid w:val="001D2CDA"/>
    <w:rsid w:val="001D32D5"/>
    <w:rsid w:val="001D531F"/>
    <w:rsid w:val="001E6156"/>
    <w:rsid w:val="001F1E1E"/>
    <w:rsid w:val="001F75C4"/>
    <w:rsid w:val="00200191"/>
    <w:rsid w:val="00200828"/>
    <w:rsid w:val="002035F4"/>
    <w:rsid w:val="00206CE1"/>
    <w:rsid w:val="002118F8"/>
    <w:rsid w:val="00230646"/>
    <w:rsid w:val="00233228"/>
    <w:rsid w:val="002373D7"/>
    <w:rsid w:val="00247395"/>
    <w:rsid w:val="0025479A"/>
    <w:rsid w:val="00254BF8"/>
    <w:rsid w:val="00262B8C"/>
    <w:rsid w:val="00263296"/>
    <w:rsid w:val="002671C2"/>
    <w:rsid w:val="00271CCB"/>
    <w:rsid w:val="002B7B7C"/>
    <w:rsid w:val="002C10B0"/>
    <w:rsid w:val="002C3589"/>
    <w:rsid w:val="002C3AA6"/>
    <w:rsid w:val="002D1170"/>
    <w:rsid w:val="002D576F"/>
    <w:rsid w:val="002E0A06"/>
    <w:rsid w:val="002F16F5"/>
    <w:rsid w:val="002F4057"/>
    <w:rsid w:val="00302F0B"/>
    <w:rsid w:val="00302FA8"/>
    <w:rsid w:val="00316C4D"/>
    <w:rsid w:val="00322D0D"/>
    <w:rsid w:val="00343DC0"/>
    <w:rsid w:val="0035426B"/>
    <w:rsid w:val="00357562"/>
    <w:rsid w:val="0036544A"/>
    <w:rsid w:val="003676B0"/>
    <w:rsid w:val="003866C7"/>
    <w:rsid w:val="00397120"/>
    <w:rsid w:val="003A4866"/>
    <w:rsid w:val="003C6FF4"/>
    <w:rsid w:val="003E4EB3"/>
    <w:rsid w:val="003F0556"/>
    <w:rsid w:val="0040511F"/>
    <w:rsid w:val="00411F36"/>
    <w:rsid w:val="004156AB"/>
    <w:rsid w:val="00416389"/>
    <w:rsid w:val="00426019"/>
    <w:rsid w:val="00450CE2"/>
    <w:rsid w:val="004579AF"/>
    <w:rsid w:val="004660BC"/>
    <w:rsid w:val="0047061F"/>
    <w:rsid w:val="0047691D"/>
    <w:rsid w:val="00476987"/>
    <w:rsid w:val="00480308"/>
    <w:rsid w:val="00480CDF"/>
    <w:rsid w:val="004817B8"/>
    <w:rsid w:val="00491481"/>
    <w:rsid w:val="004A11A0"/>
    <w:rsid w:val="004A1649"/>
    <w:rsid w:val="004A5CC3"/>
    <w:rsid w:val="004B1F9D"/>
    <w:rsid w:val="004C2167"/>
    <w:rsid w:val="004C5772"/>
    <w:rsid w:val="004C5E5D"/>
    <w:rsid w:val="004D5F28"/>
    <w:rsid w:val="004D6492"/>
    <w:rsid w:val="004D6E1A"/>
    <w:rsid w:val="004E311B"/>
    <w:rsid w:val="004F0CAF"/>
    <w:rsid w:val="004F4C99"/>
    <w:rsid w:val="005126BE"/>
    <w:rsid w:val="00520C5E"/>
    <w:rsid w:val="00521B43"/>
    <w:rsid w:val="00530440"/>
    <w:rsid w:val="0053275F"/>
    <w:rsid w:val="005602D8"/>
    <w:rsid w:val="00565C29"/>
    <w:rsid w:val="00583CFD"/>
    <w:rsid w:val="00584D2E"/>
    <w:rsid w:val="00597C2B"/>
    <w:rsid w:val="005B646F"/>
    <w:rsid w:val="005C27DE"/>
    <w:rsid w:val="005C4130"/>
    <w:rsid w:val="005E14DC"/>
    <w:rsid w:val="005E331C"/>
    <w:rsid w:val="005E5533"/>
    <w:rsid w:val="005E5EF5"/>
    <w:rsid w:val="005E7742"/>
    <w:rsid w:val="005F2A22"/>
    <w:rsid w:val="005F6D5D"/>
    <w:rsid w:val="00621F33"/>
    <w:rsid w:val="0063108F"/>
    <w:rsid w:val="0063786F"/>
    <w:rsid w:val="006470E7"/>
    <w:rsid w:val="006545A7"/>
    <w:rsid w:val="006609BD"/>
    <w:rsid w:val="00665CA2"/>
    <w:rsid w:val="00685F13"/>
    <w:rsid w:val="0069229C"/>
    <w:rsid w:val="006A0DDF"/>
    <w:rsid w:val="006A28E4"/>
    <w:rsid w:val="006A3452"/>
    <w:rsid w:val="006B2BDB"/>
    <w:rsid w:val="006B35AD"/>
    <w:rsid w:val="006B73EF"/>
    <w:rsid w:val="006C1095"/>
    <w:rsid w:val="006C2F32"/>
    <w:rsid w:val="006C4AA9"/>
    <w:rsid w:val="006C63F8"/>
    <w:rsid w:val="006D2DFA"/>
    <w:rsid w:val="006D3784"/>
    <w:rsid w:val="006E7CB0"/>
    <w:rsid w:val="006F0176"/>
    <w:rsid w:val="006F67D2"/>
    <w:rsid w:val="007011DA"/>
    <w:rsid w:val="00702A75"/>
    <w:rsid w:val="00713893"/>
    <w:rsid w:val="00724F65"/>
    <w:rsid w:val="007401C8"/>
    <w:rsid w:val="007513D1"/>
    <w:rsid w:val="0079249A"/>
    <w:rsid w:val="00797F5D"/>
    <w:rsid w:val="007A35F0"/>
    <w:rsid w:val="007C41F6"/>
    <w:rsid w:val="007E396C"/>
    <w:rsid w:val="007F0FDF"/>
    <w:rsid w:val="007F2332"/>
    <w:rsid w:val="008313EE"/>
    <w:rsid w:val="008412E1"/>
    <w:rsid w:val="00866466"/>
    <w:rsid w:val="008765FA"/>
    <w:rsid w:val="00880391"/>
    <w:rsid w:val="0088207A"/>
    <w:rsid w:val="008920DE"/>
    <w:rsid w:val="008A0B3D"/>
    <w:rsid w:val="008C44A6"/>
    <w:rsid w:val="008C6CC5"/>
    <w:rsid w:val="008C74AB"/>
    <w:rsid w:val="008C7824"/>
    <w:rsid w:val="008D59E2"/>
    <w:rsid w:val="00926776"/>
    <w:rsid w:val="009321A8"/>
    <w:rsid w:val="009347D1"/>
    <w:rsid w:val="00934EE1"/>
    <w:rsid w:val="00937CFC"/>
    <w:rsid w:val="009405D5"/>
    <w:rsid w:val="00943B8C"/>
    <w:rsid w:val="00957F1C"/>
    <w:rsid w:val="0096518B"/>
    <w:rsid w:val="00965484"/>
    <w:rsid w:val="00965C50"/>
    <w:rsid w:val="00965CBB"/>
    <w:rsid w:val="00966525"/>
    <w:rsid w:val="00971C2D"/>
    <w:rsid w:val="00981B64"/>
    <w:rsid w:val="009B5394"/>
    <w:rsid w:val="009B5A03"/>
    <w:rsid w:val="009B6C20"/>
    <w:rsid w:val="009E55C7"/>
    <w:rsid w:val="00A03E25"/>
    <w:rsid w:val="00A059DB"/>
    <w:rsid w:val="00A2312B"/>
    <w:rsid w:val="00A24A88"/>
    <w:rsid w:val="00A7554F"/>
    <w:rsid w:val="00A86031"/>
    <w:rsid w:val="00A901D1"/>
    <w:rsid w:val="00AB18D5"/>
    <w:rsid w:val="00AB7A26"/>
    <w:rsid w:val="00AC56E4"/>
    <w:rsid w:val="00AC6CA6"/>
    <w:rsid w:val="00AE074A"/>
    <w:rsid w:val="00AE42E9"/>
    <w:rsid w:val="00AE6042"/>
    <w:rsid w:val="00B0729B"/>
    <w:rsid w:val="00B07F0B"/>
    <w:rsid w:val="00B135F1"/>
    <w:rsid w:val="00B15E42"/>
    <w:rsid w:val="00B21880"/>
    <w:rsid w:val="00B45E8D"/>
    <w:rsid w:val="00B6786E"/>
    <w:rsid w:val="00B83317"/>
    <w:rsid w:val="00BA0963"/>
    <w:rsid w:val="00BC3524"/>
    <w:rsid w:val="00BC5AD8"/>
    <w:rsid w:val="00BC6E6D"/>
    <w:rsid w:val="00BD6B22"/>
    <w:rsid w:val="00BF5BDD"/>
    <w:rsid w:val="00C10785"/>
    <w:rsid w:val="00C131EE"/>
    <w:rsid w:val="00C17E4E"/>
    <w:rsid w:val="00C23586"/>
    <w:rsid w:val="00C31B16"/>
    <w:rsid w:val="00C358A9"/>
    <w:rsid w:val="00C55FDF"/>
    <w:rsid w:val="00C611ED"/>
    <w:rsid w:val="00C62C8D"/>
    <w:rsid w:val="00C66D4C"/>
    <w:rsid w:val="00C74D1A"/>
    <w:rsid w:val="00C7601F"/>
    <w:rsid w:val="00C76CC8"/>
    <w:rsid w:val="00C82BFC"/>
    <w:rsid w:val="00C854DA"/>
    <w:rsid w:val="00C8784E"/>
    <w:rsid w:val="00C96423"/>
    <w:rsid w:val="00CA3933"/>
    <w:rsid w:val="00CC48C8"/>
    <w:rsid w:val="00CE25F6"/>
    <w:rsid w:val="00CE5414"/>
    <w:rsid w:val="00CF2064"/>
    <w:rsid w:val="00D060C8"/>
    <w:rsid w:val="00D0779B"/>
    <w:rsid w:val="00D14375"/>
    <w:rsid w:val="00D33F0C"/>
    <w:rsid w:val="00D3567E"/>
    <w:rsid w:val="00D455F8"/>
    <w:rsid w:val="00D63D62"/>
    <w:rsid w:val="00D64ADF"/>
    <w:rsid w:val="00D66077"/>
    <w:rsid w:val="00D67A2D"/>
    <w:rsid w:val="00D72DC0"/>
    <w:rsid w:val="00D77A2F"/>
    <w:rsid w:val="00D86956"/>
    <w:rsid w:val="00D907EF"/>
    <w:rsid w:val="00DA3A2E"/>
    <w:rsid w:val="00DB0090"/>
    <w:rsid w:val="00DB3F34"/>
    <w:rsid w:val="00DB7224"/>
    <w:rsid w:val="00DC20E6"/>
    <w:rsid w:val="00DD251E"/>
    <w:rsid w:val="00DE541F"/>
    <w:rsid w:val="00DF3073"/>
    <w:rsid w:val="00DF4B34"/>
    <w:rsid w:val="00DF7C55"/>
    <w:rsid w:val="00E01F58"/>
    <w:rsid w:val="00E02200"/>
    <w:rsid w:val="00E03D17"/>
    <w:rsid w:val="00E04AE7"/>
    <w:rsid w:val="00E12778"/>
    <w:rsid w:val="00E17039"/>
    <w:rsid w:val="00E2338C"/>
    <w:rsid w:val="00E27C74"/>
    <w:rsid w:val="00E47660"/>
    <w:rsid w:val="00E734C3"/>
    <w:rsid w:val="00E830F7"/>
    <w:rsid w:val="00EA7962"/>
    <w:rsid w:val="00EC03F8"/>
    <w:rsid w:val="00EE1877"/>
    <w:rsid w:val="00EE7CBF"/>
    <w:rsid w:val="00F0086E"/>
    <w:rsid w:val="00F0292A"/>
    <w:rsid w:val="00F04F58"/>
    <w:rsid w:val="00F2624F"/>
    <w:rsid w:val="00F3029D"/>
    <w:rsid w:val="00F44C93"/>
    <w:rsid w:val="00F6348A"/>
    <w:rsid w:val="00F652F4"/>
    <w:rsid w:val="00F77DA7"/>
    <w:rsid w:val="00F8594B"/>
    <w:rsid w:val="00F85B59"/>
    <w:rsid w:val="00F87154"/>
    <w:rsid w:val="00F928E4"/>
    <w:rsid w:val="00F9750C"/>
    <w:rsid w:val="00FA7068"/>
    <w:rsid w:val="00FB4063"/>
    <w:rsid w:val="00FB603E"/>
    <w:rsid w:val="00FB67F0"/>
    <w:rsid w:val="00FD16FE"/>
    <w:rsid w:val="00FD5E84"/>
    <w:rsid w:val="00FD652C"/>
    <w:rsid w:val="00FD77F6"/>
    <w:rsid w:val="00FE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828"/>
    <w:pPr>
      <w:spacing w:after="80" w:line="240" w:lineRule="auto"/>
      <w:jc w:val="both"/>
    </w:pPr>
    <w:rPr>
      <w:rFonts w:ascii="Arial" w:hAnsi="Arial" w:cs="Times New Roman"/>
      <w:sz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33F0C"/>
    <w:pPr>
      <w:keepNext/>
      <w:spacing w:after="0"/>
      <w:ind w:left="360" w:hanging="360"/>
      <w:jc w:val="center"/>
      <w:outlineLvl w:val="0"/>
    </w:pPr>
    <w:rPr>
      <w:rFonts w:cs="Arial"/>
      <w:b/>
      <w:bCs/>
      <w:kern w:val="32"/>
      <w:szCs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02200"/>
    <w:pPr>
      <w:keepNext/>
      <w:keepLines/>
      <w:spacing w:after="0"/>
      <w:outlineLvl w:val="1"/>
    </w:pPr>
    <w:rPr>
      <w:rFonts w:eastAsiaTheme="majorEastAsia" w:cstheme="majorBidi"/>
      <w:szCs w:val="26"/>
      <w:lang w:eastAsia="en-US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F85B59"/>
    <w:pPr>
      <w:keepNext/>
      <w:keepLines/>
      <w:widowControl w:val="0"/>
      <w:autoSpaceDE w:val="0"/>
      <w:autoSpaceDN w:val="0"/>
      <w:spacing w:after="0"/>
      <w:jc w:val="center"/>
      <w:outlineLvl w:val="3"/>
    </w:pPr>
    <w:rPr>
      <w:rFonts w:eastAsiaTheme="majorEastAsia" w:cstheme="majorBidi"/>
      <w:b/>
      <w:iCs/>
      <w:color w:val="000000" w:themeColor="text1"/>
      <w:sz w:val="40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2200"/>
    <w:rPr>
      <w:rFonts w:ascii="Arial" w:eastAsiaTheme="majorEastAsia" w:hAnsi="Arial" w:cstheme="majorBidi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33F0C"/>
    <w:rPr>
      <w:rFonts w:ascii="Arial" w:hAnsi="Arial" w:cs="Arial"/>
      <w:b/>
      <w:bCs/>
      <w:kern w:val="3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B59"/>
    <w:rPr>
      <w:rFonts w:ascii="Arial" w:eastAsiaTheme="majorEastAsia" w:hAnsi="Arial" w:cstheme="majorBidi"/>
      <w:b/>
      <w:iCs/>
      <w:color w:val="000000" w:themeColor="text1"/>
      <w:sz w:val="4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E331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331C"/>
    <w:rPr>
      <w:rFonts w:ascii="Segoe UI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3542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828"/>
    <w:pPr>
      <w:spacing w:after="80" w:line="240" w:lineRule="auto"/>
      <w:jc w:val="both"/>
    </w:pPr>
    <w:rPr>
      <w:rFonts w:ascii="Arial" w:hAnsi="Arial" w:cs="Times New Roman"/>
      <w:sz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33F0C"/>
    <w:pPr>
      <w:keepNext/>
      <w:spacing w:after="0"/>
      <w:ind w:left="360" w:hanging="360"/>
      <w:jc w:val="center"/>
      <w:outlineLvl w:val="0"/>
    </w:pPr>
    <w:rPr>
      <w:rFonts w:cs="Arial"/>
      <w:b/>
      <w:bCs/>
      <w:kern w:val="32"/>
      <w:szCs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02200"/>
    <w:pPr>
      <w:keepNext/>
      <w:keepLines/>
      <w:spacing w:after="0"/>
      <w:outlineLvl w:val="1"/>
    </w:pPr>
    <w:rPr>
      <w:rFonts w:eastAsiaTheme="majorEastAsia" w:cstheme="majorBidi"/>
      <w:szCs w:val="26"/>
      <w:lang w:eastAsia="en-US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F85B59"/>
    <w:pPr>
      <w:keepNext/>
      <w:keepLines/>
      <w:widowControl w:val="0"/>
      <w:autoSpaceDE w:val="0"/>
      <w:autoSpaceDN w:val="0"/>
      <w:spacing w:after="0"/>
      <w:jc w:val="center"/>
      <w:outlineLvl w:val="3"/>
    </w:pPr>
    <w:rPr>
      <w:rFonts w:eastAsiaTheme="majorEastAsia" w:cstheme="majorBidi"/>
      <w:b/>
      <w:iCs/>
      <w:color w:val="000000" w:themeColor="text1"/>
      <w:sz w:val="40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2200"/>
    <w:rPr>
      <w:rFonts w:ascii="Arial" w:eastAsiaTheme="majorEastAsia" w:hAnsi="Arial" w:cstheme="majorBidi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D33F0C"/>
    <w:rPr>
      <w:rFonts w:ascii="Arial" w:hAnsi="Arial" w:cs="Arial"/>
      <w:b/>
      <w:bCs/>
      <w:kern w:val="3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5B59"/>
    <w:rPr>
      <w:rFonts w:ascii="Arial" w:eastAsiaTheme="majorEastAsia" w:hAnsi="Arial" w:cstheme="majorBidi"/>
      <w:b/>
      <w:iCs/>
      <w:color w:val="000000" w:themeColor="text1"/>
      <w:sz w:val="4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E331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331C"/>
    <w:rPr>
      <w:rFonts w:ascii="Segoe UI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3542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9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E65BC-032F-4A64-A175-B74BFA88E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4218</Words>
  <Characters>22783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</dc:creator>
  <cp:lastModifiedBy>pc0</cp:lastModifiedBy>
  <cp:revision>2</cp:revision>
  <cp:lastPrinted>2025-08-19T18:28:00Z</cp:lastPrinted>
  <dcterms:created xsi:type="dcterms:W3CDTF">2026-05-14T14:42:00Z</dcterms:created>
  <dcterms:modified xsi:type="dcterms:W3CDTF">2026-05-14T14:42:00Z</dcterms:modified>
</cp:coreProperties>
</file>