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48"/>
          <w:szCs w:val="48"/>
        </w:rPr>
        <w:t xml:space="preserve">Análisis de Unidades Económicas</w:t>
      </w:r>
    </w:p>
    <w:p>
      <w:pPr>
        <w:spacing w:after="200" w:before="0"/>
        <w:jc w:val="center"/>
      </w:pPr>
      <w:r>
        <w:rPr>
          <w:rFonts w:ascii="Arial" w:cs="Arial" w:eastAsia="Arial" w:hAnsi="Arial"/>
          <w:color w:val="2E75B6"/>
          <w:sz w:val="32"/>
          <w:szCs w:val="32"/>
        </w:rPr>
        <w:t xml:space="preserve">Sector Agropecuario — DENUE INEGI</w:t>
      </w:r>
    </w:p>
    <w:p>
      <w:pPr>
        <w:spacing w:after="200" w:before="0"/>
        <w:jc w:val="center"/>
      </w:pPr>
      <w:r>
        <w:rPr>
          <w:rFonts w:ascii="Arial" w:cs="Arial" w:eastAsia="Arial" w:hAnsi="Arial"/>
          <w:color w:val="595959"/>
          <w:sz w:val="24"/>
          <w:szCs w:val="24"/>
        </w:rPr>
        <w:t xml:space="preserve">Práctica Integradora: Arquitectura Cloud para BI</w:t>
      </w:r>
    </w:p>
    <w:p>
      <w:pPr>
        <w:spacing w:after="2880" w:before="0"/>
        <w:jc w:val="center"/>
      </w:pPr>
      <w:r>
        <w:rPr>
          <w:rFonts w:ascii="Arial" w:cs="Arial" w:eastAsia="Arial" w:hAnsi="Arial"/>
          <w:color w:val="595959"/>
          <w:sz w:val="24"/>
          <w:szCs w:val="24"/>
        </w:rPr>
        <w:t xml:space="preserve">Cecilia Ruiz  |  2026</w:t>
      </w:r>
    </w:p>
    <w:p>
      <w:pPr>
        <w:pBdr>
          <w:bottom w:val="single" w:color="2E75B6" w:sz="6" w:space="1"/>
        </w:pBdr>
      </w:pPr>
    </w:p>
    <w:p/>
    <w:p>
      <w:pPr>
        <w:pStyle w:val="Heading1"/>
      </w:pPr>
      <w:r>
        <w:t xml:space="preserve">Arquitectura de la Solución</w:t>
      </w:r>
    </w:p>
    <w:p>
      <w:pPr>
        <w:spacing w:after="200"/>
      </w:pPr>
      <w:r>
        <w:rPr>
          <w:rFonts w:ascii="Arial" w:cs="Arial" w:eastAsia="Arial" w:hAnsi="Arial"/>
          <w:sz w:val="24"/>
          <w:szCs w:val="24"/>
        </w:rPr>
        <w:t xml:space="preserve">La solución implementada conecta cuatro capas tecnológicas: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Capa</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Tecnología</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Función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Datos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Excel INEGI (DENUE)</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Fuente de datos normalizada con 21,093 registros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Base de datos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Supabase (PostgreSQL)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tablas relacionales con PKs y FKs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Flask API (Python)</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 endpoints REST en JSON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Hosting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PythonAnywhere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URL pública: ceciliaruiz.pythonanywhere.com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BI</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Looker Studio</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Dashboard con KPIs y visualizaciones</w:t>
            </w:r>
          </w:p>
        </w:tc>
      </w:tr>
    </w:tbl>
    <w:p/>
    <w:p>
      <w:pPr>
        <w:pBdr>
          <w:bottom w:val="single" w:color="2E75B6" w:sz="6" w:space="1"/>
        </w:pBdr>
      </w:pPr>
    </w:p>
    <w:p/>
    <w:p>
      <w:pPr>
        <w:pStyle w:val="Heading1"/>
      </w:pPr>
      <w:r>
        <w:t xml:space="preserve">Hallazgo 1: Concentración Geográfica Desigual</w:t>
      </w:r>
    </w:p>
    <w:p>
      <w:pPr>
        <w:pStyle w:val="Heading2"/>
      </w:pPr>
      <w:r>
        <w:t xml:space="preserve">Descripción del hallazgo</w:t>
      </w:r>
    </w:p>
    <w:p>
      <w:pPr>
        <w:spacing w:after="200"/>
      </w:pPr>
      <w:r>
        <w:rPr>
          <w:rFonts w:ascii="Arial" w:cs="Arial" w:eastAsia="Arial" w:hAnsi="Arial"/>
          <w:sz w:val="24"/>
          <w:szCs w:val="24"/>
        </w:rPr>
        <w:t xml:space="preserve">Al analizar el endpoint /api/estadisticas/total_por_estado en el dashboard de Looker Studio, se identificó que la distribución de unidades económicas agropecuarias en México es altamente desigual entre entidades federativas. Los estados del norte y centro del país concentran la mayor parte de los establecimientos registrados, mientras que algunas entidades del sur presentan una presencia mínima de actividad económica formal en este sector.</w:t>
      </w:r>
    </w:p>
    <w:p>
      <w:pPr>
        <w:pStyle w:val="Heading2"/>
      </w:pPr>
      <w:r>
        <w:t xml:space="preserve">Implicación de negocio</w:t>
      </w:r>
    </w:p>
    <w:p>
      <w:pPr>
        <w:spacing w:after="200"/>
      </w:pPr>
      <w:r>
        <w:rPr>
          <w:rFonts w:ascii="Arial" w:cs="Arial" w:eastAsia="Arial" w:hAnsi="Arial"/>
          <w:sz w:val="24"/>
          <w:szCs w:val="24"/>
        </w:rPr>
        <w:t xml:space="preserve">Esta concentración geográfica sugiere oportunidades de expansión o formalización en estados con menor presencia. Las políticas de apoyo al sector agropecuario podrían focalizar recursos en las regiones con menor densidad de unidades económicas registradas, impulsando el desarrollo económico regional y reduciendo la brecha entre entidades federativas.</w:t>
      </w:r>
    </w:p>
    <w:p>
      <w:pPr>
        <w:pStyle w:val="Heading2"/>
      </w:pPr>
      <w:r>
        <w:t xml:space="preserve">Evidencia en datos</w:t>
      </w:r>
    </w:p>
    <w:p>
      <w:pPr>
        <w:spacing w:after="200"/>
      </w:pPr>
      <w:r>
        <w:rPr>
          <w:rFonts w:ascii="Arial" w:cs="Arial" w:eastAsia="Arial" w:hAnsi="Arial"/>
          <w:sz w:val="24"/>
          <w:szCs w:val="24"/>
        </w:rPr>
        <w:t xml:space="preserve">Los datos del DENUE muestran que los 5 estados con mayor número de unidades concentran más del 50% del total de establecimientos agropecuarios registrados a nivel nacional, con 21,093 unidades económicas distribuidas en 32 entidades y 954 municipios distintos.</w:t>
      </w:r>
    </w:p>
    <w:p/>
    <w:p>
      <w:pPr>
        <w:pBdr>
          <w:bottom w:val="single" w:color="2E75B6" w:sz="6" w:space="1"/>
        </w:pBdr>
      </w:pPr>
    </w:p>
    <w:p/>
    <w:p>
      <w:pPr>
        <w:pStyle w:val="Heading1"/>
      </w:pPr>
      <w:r>
        <w:t xml:space="preserve">Hallazgo 2: Predominio de Microempresas</w:t>
      </w:r>
    </w:p>
    <w:p>
      <w:pPr>
        <w:pStyle w:val="Heading2"/>
      </w:pPr>
      <w:r>
        <w:t xml:space="preserve">Descripción del hallazgo</w:t>
      </w:r>
    </w:p>
    <w:p>
      <w:pPr>
        <w:spacing w:after="200"/>
      </w:pPr>
      <w:r>
        <w:rPr>
          <w:rFonts w:ascii="Arial" w:cs="Arial" w:eastAsia="Arial" w:hAnsi="Arial"/>
          <w:sz w:val="24"/>
          <w:szCs w:val="24"/>
        </w:rPr>
        <w:t xml:space="preserve">El análisis del rango de personal ocupado revela que la gran mayoría de las unidades económicas agropecuarias son microempresas (0 a 5 personas). Al filtrar por actividad económica usando el endpoint /api/unidades/filtro, se observa que independientemente del tipo de actividad agropecuaria, el patrón de microempresa es consistente en todo el sector.</w:t>
      </w:r>
    </w:p>
    <w:p>
      <w:pPr>
        <w:pStyle w:val="Heading2"/>
      </w:pPr>
      <w:r>
        <w:t xml:space="preserve">Implicación de negocio</w:t>
      </w:r>
    </w:p>
    <w:p>
      <w:pPr>
        <w:spacing w:after="200"/>
      </w:pPr>
      <w:r>
        <w:rPr>
          <w:rFonts w:ascii="Arial" w:cs="Arial" w:eastAsia="Arial" w:hAnsi="Arial"/>
          <w:sz w:val="24"/>
          <w:szCs w:val="24"/>
        </w:rPr>
        <w:t xml:space="preserve">El dominio de microempresas indica que el sector agropecuario mexicano está mayormente compuesto por pequeños productores con capacidad limitada de escala. Esto representa tanto un reto como una oportunidad: los programas de financiamiento, tecnificación y asociación productiva podrían tener un impacto significativo si se orientan a este segmento. Adicionalmente, la baja presencia de empresas grandes (más de 50 personas) podría indicar un sector con potencial de consolidación y crecimiento empresarial.</w:t>
      </w:r>
    </w:p>
    <w:p>
      <w:pPr>
        <w:pStyle w:val="Heading2"/>
      </w:pPr>
      <w:r>
        <w:t xml:space="preserve">Evidencia en datos</w:t>
      </w:r>
    </w:p>
    <w:p>
      <w:pPr>
        <w:spacing w:after="200"/>
      </w:pPr>
      <w:r>
        <w:rPr>
          <w:rFonts w:ascii="Arial" w:cs="Arial" w:eastAsia="Arial" w:hAnsi="Arial"/>
          <w:sz w:val="24"/>
          <w:szCs w:val="24"/>
        </w:rPr>
        <w:t xml:space="preserve">De los 7 rangos de personal disponibles en el catálogo (0-5, 6-10, 11-30, 31-50, 51-100, 101-250, 251+), el rango de 0 a 5 personas representa la categoría más frecuente, seguido por el rango de 6 a 10 personas, lo que confirma la naturaleza predominantemente micro del sector agropecuario formal en México.</w:t>
      </w:r>
    </w:p>
    <w:p/>
    <w:p>
      <w:pPr>
        <w:pBdr>
          <w:bottom w:val="single" w:color="2E75B6" w:sz="6" w:space="1"/>
        </w:pBdr>
      </w:pPr>
    </w:p>
    <w:p/>
    <w:p>
      <w:pPr>
        <w:pStyle w:val="Heading1"/>
      </w:pPr>
      <w:r>
        <w:t xml:space="preserve">URLs de la API Pública</w:t>
      </w:r>
    </w:p>
    <w:p>
      <w:pPr>
        <w:spacing w:after="100"/>
      </w:pPr>
      <w:r>
        <w:rPr>
          <w:rFonts w:ascii="Arial" w:cs="Arial" w:eastAsia="Arial" w:hAnsi="Arial"/>
          <w:b/>
          <w:bCs/>
          <w:sz w:val="22"/>
          <w:szCs w:val="22"/>
        </w:rPr>
        <w:t xml:space="preserve">Catálogo general: </w:t>
      </w:r>
      <w:r>
        <w:rPr>
          <w:rFonts w:ascii="Courier New" w:cs="Courier New" w:eastAsia="Courier New" w:hAnsi="Courier New"/>
          <w:color w:val="2E75B6"/>
          <w:sz w:val="20"/>
          <w:szCs w:val="20"/>
        </w:rPr>
        <w:t xml:space="preserve">https://ceciliaruiz.pythonanywhere.com/api/unidades</w:t>
      </w:r>
    </w:p>
    <w:p>
      <w:pPr>
        <w:spacing w:after="100"/>
      </w:pPr>
      <w:r>
        <w:rPr>
          <w:rFonts w:ascii="Arial" w:cs="Arial" w:eastAsia="Arial" w:hAnsi="Arial"/>
          <w:b/>
          <w:bCs/>
          <w:sz w:val="22"/>
          <w:szCs w:val="22"/>
        </w:rPr>
        <w:t xml:space="preserve">Búsqueda por nombre: </w:t>
      </w:r>
      <w:r>
        <w:rPr>
          <w:rFonts w:ascii="Courier New" w:cs="Courier New" w:eastAsia="Courier New" w:hAnsi="Courier New"/>
          <w:color w:val="2E75B6"/>
          <w:sz w:val="20"/>
          <w:szCs w:val="20"/>
        </w:rPr>
        <w:t xml:space="preserve">https://ceciliaruiz.pythonanywhere.com/api/unidades/buscar?nombre=rancho</w:t>
      </w:r>
    </w:p>
    <w:p>
      <w:pPr>
        <w:spacing w:after="100"/>
      </w:pPr>
      <w:r>
        <w:rPr>
          <w:rFonts w:ascii="Arial" w:cs="Arial" w:eastAsia="Arial" w:hAnsi="Arial"/>
          <w:b/>
          <w:bCs/>
          <w:sz w:val="22"/>
          <w:szCs w:val="22"/>
        </w:rPr>
        <w:t xml:space="preserve">Consulta por ID: </w:t>
      </w:r>
      <w:r>
        <w:rPr>
          <w:rFonts w:ascii="Courier New" w:cs="Courier New" w:eastAsia="Courier New" w:hAnsi="Courier New"/>
          <w:color w:val="2E75B6"/>
          <w:sz w:val="20"/>
          <w:szCs w:val="20"/>
        </w:rPr>
        <w:t xml:space="preserve">https://ceciliaruiz.pythonanywhere.com/api/unidades/963</w:t>
      </w:r>
    </w:p>
    <w:p>
      <w:pPr>
        <w:spacing w:after="100"/>
      </w:pPr>
      <w:r>
        <w:rPr>
          <w:rFonts w:ascii="Arial" w:cs="Arial" w:eastAsia="Arial" w:hAnsi="Arial"/>
          <w:b/>
          <w:bCs/>
          <w:sz w:val="22"/>
          <w:szCs w:val="22"/>
        </w:rPr>
        <w:t xml:space="preserve">Filtros dinámicos: </w:t>
      </w:r>
      <w:r>
        <w:rPr>
          <w:rFonts w:ascii="Courier New" w:cs="Courier New" w:eastAsia="Courier New" w:hAnsi="Courier New"/>
          <w:color w:val="2E75B6"/>
          <w:sz w:val="20"/>
          <w:szCs w:val="20"/>
        </w:rPr>
        <w:t xml:space="preserve">https://ceciliaruiz.pythonanywhere.com/api/unidades/filtro?estado=jalisco</w:t>
      </w:r>
    </w:p>
    <w:p>
      <w:pPr>
        <w:spacing w:after="100"/>
      </w:pPr>
      <w:r>
        <w:rPr>
          <w:rFonts w:ascii="Arial" w:cs="Arial" w:eastAsia="Arial" w:hAnsi="Arial"/>
          <w:b/>
          <w:bCs/>
          <w:sz w:val="22"/>
          <w:szCs w:val="22"/>
        </w:rPr>
        <w:t xml:space="preserve">KPI por estado: </w:t>
      </w:r>
      <w:r>
        <w:rPr>
          <w:rFonts w:ascii="Courier New" w:cs="Courier New" w:eastAsia="Courier New" w:hAnsi="Courier New"/>
          <w:color w:val="2E75B6"/>
          <w:sz w:val="20"/>
          <w:szCs w:val="20"/>
        </w:rPr>
        <w:t xml:space="preserve">https://ceciliaruiz.pythonanywhere.com/api/estadisticas/total_por_estado</w:t>
      </w:r>
    </w:p>
    <w:p>
      <w:pPr>
        <w:spacing w:after="100"/>
      </w:pPr>
      <w:r>
        <w:rPr>
          <w:rFonts w:ascii="Arial" w:cs="Arial" w:eastAsia="Arial" w:hAnsi="Arial"/>
          <w:b/>
          <w:bCs/>
          <w:sz w:val="22"/>
          <w:szCs w:val="22"/>
        </w:rPr>
        <w:t xml:space="preserve">Perfil completo: </w:t>
      </w:r>
      <w:r>
        <w:rPr>
          <w:rFonts w:ascii="Courier New" w:cs="Courier New" w:eastAsia="Courier New" w:hAnsi="Courier New"/>
          <w:color w:val="2E75B6"/>
          <w:sz w:val="20"/>
          <w:szCs w:val="20"/>
        </w:rPr>
        <w:t xml:space="preserve">https://ceciliaruiz.pythonanywhere.com/api/unidades/963/perfil_completo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2026-05-05T02:23:32.850Z</dcterms:created>
  <dcterms:modified xsi:type="dcterms:W3CDTF">2026-05-05T02:23:32.853Z</dcterms:modified>
</cp:coreProperties>
</file>

<file path=docProps/custom.xml><?xml version="1.0" encoding="utf-8"?>
<Properties xmlns="http://schemas.openxmlformats.org/officeDocument/2006/custom-properties" xmlns:vt="http://schemas.openxmlformats.org/officeDocument/2006/docPropsVTypes"/>
</file>