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75.0" w:type="dxa"/>
        <w:jc w:val="left"/>
        <w:tblInd w:w="-56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8"/>
        <w:gridCol w:w="2421"/>
        <w:gridCol w:w="4389"/>
        <w:tblGridChange w:id="0">
          <w:tblGrid>
            <w:gridCol w:w="737"/>
            <w:gridCol w:w="1128"/>
            <w:gridCol w:w="2421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10/12/2016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Lusmar Mendes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ind w:left="432" w:hanging="432"/>
        <w:contextualSpacing w:val="0"/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ind w:left="432" w:hanging="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hyperlink w:anchor="_1fob9te">
        <w:r w:rsidDel="00000000" w:rsidR="00000000" w:rsidRPr="00000000">
          <w:rPr>
            <w:color w:val="1155cc"/>
            <w:u w:val="single"/>
            <w:rtl w:val="0"/>
          </w:rPr>
          <w:t xml:space="preserve">Objetivos deste documento</w:t>
        </w:r>
      </w:hyperlink>
      <w:hyperlink w:anchor="_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hyperlink w:anchor="_3znysh7">
        <w:r w:rsidDel="00000000" w:rsidR="00000000" w:rsidRPr="00000000">
          <w:rPr>
            <w:color w:val="1155cc"/>
            <w:u w:val="single"/>
            <w:rtl w:val="0"/>
          </w:rPr>
          <w:t xml:space="preserve">Gerenciamento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das Comunicações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2.1. Planejar o Gerenciamento das Comunicações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2.2. Gerenciar as Comunicações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2.3. Controlar as Comunicações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2.4. Ferramentas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2.5. Documentos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color w:val="1155cc"/>
          <w:u w:val="single"/>
          <w:rtl w:val="0"/>
        </w:rPr>
        <w:t xml:space="preserve">Requisitos de Comunicação das Partes Interessadas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color w:val="1155cc"/>
          <w:u w:val="single"/>
          <w:rtl w:val="0"/>
        </w:rPr>
        <w:t xml:space="preserve">Responsabilidade e Receptores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color w:val="1155cc"/>
          <w:u w:val="single"/>
          <w:rtl w:val="0"/>
        </w:rPr>
        <w:t xml:space="preserve">Classificação e Restrições da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color w:val="1155cc"/>
          <w:u w:val="single"/>
          <w:rtl w:val="0"/>
        </w:rPr>
        <w:t xml:space="preserve">Processo de Mudança e Atualização dos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before="0" w:lineRule="auto"/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Esse documento tem como finalidade descrever como os processos de comunicação serão gerenciados, desde a identificação das partes interessadas até o encerramento do projeto, estabelecer os documentos utilizados para registros e quais as informações cada parte envolvidas terão que receber.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before="0" w:lineRule="auto"/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Gerenciamento das Comunicações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Gerenciar as comunicações do projeto requer um plano de gerenciamento das comunicações desenvolvido e aprovado durante a fase de planejamento do projeto englobando os processos necessários para assegurar que as informações do projeto sejam geradas, coletadas, distribuídas, armazenadas, recuperadas e organizadas de maneira oportuna e apropriada.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1"/>
          <w:numId w:val="2"/>
        </w:numPr>
        <w:spacing w:before="0" w:lineRule="auto"/>
        <w:ind w:left="576" w:firstLine="0"/>
        <w:rPr/>
      </w:pPr>
      <w:r w:rsidDel="00000000" w:rsidR="00000000" w:rsidRPr="00000000">
        <w:rPr>
          <w:rtl w:val="0"/>
        </w:rPr>
        <w:t xml:space="preserve">Planejar  o Gerenciamento das Comunicações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36" w:firstLine="0"/>
        <w:contextualSpacing w:val="0"/>
        <w:jc w:val="both"/>
      </w:pPr>
      <w:r w:rsidDel="00000000" w:rsidR="00000000" w:rsidRPr="00000000">
        <w:rPr>
          <w:rtl w:val="0"/>
        </w:rPr>
        <w:t xml:space="preserve">Processo que determina as necessidades de informação das partes interessadas no projeto e define uma abordagem de comunicação. </w:t>
      </w:r>
    </w:p>
    <w:p w:rsidR="00000000" w:rsidDel="00000000" w:rsidP="00000000" w:rsidRDefault="00000000" w:rsidRPr="00000000">
      <w:pPr>
        <w:ind w:left="93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1"/>
          <w:numId w:val="2"/>
        </w:numPr>
        <w:spacing w:before="0" w:lineRule="auto"/>
        <w:ind w:left="576" w:firstLine="0"/>
        <w:rPr/>
      </w:pPr>
      <w:r w:rsidDel="00000000" w:rsidR="00000000" w:rsidRPr="00000000">
        <w:rPr>
          <w:rtl w:val="0"/>
        </w:rPr>
        <w:t xml:space="preserve">Gerenciar as Comunicações</w:t>
      </w:r>
    </w:p>
    <w:p w:rsidR="00000000" w:rsidDel="00000000" w:rsidP="00000000" w:rsidRDefault="00000000" w:rsidRPr="00000000">
      <w:pPr>
        <w:ind w:left="21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36" w:firstLine="0"/>
        <w:contextualSpacing w:val="0"/>
        <w:jc w:val="both"/>
      </w:pPr>
      <w:r w:rsidDel="00000000" w:rsidR="00000000" w:rsidRPr="00000000">
        <w:rPr>
          <w:rtl w:val="0"/>
        </w:rPr>
        <w:t xml:space="preserve">Processo de colocar as informações necessárias à disposição das partes interessadas no projeto, conforme planejado.</w:t>
      </w:r>
    </w:p>
    <w:p w:rsidR="00000000" w:rsidDel="00000000" w:rsidP="00000000" w:rsidRDefault="00000000" w:rsidRPr="00000000">
      <w:pPr>
        <w:ind w:left="93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1"/>
          <w:numId w:val="2"/>
        </w:numPr>
        <w:spacing w:before="0" w:lineRule="auto"/>
        <w:ind w:left="576" w:firstLine="0"/>
        <w:rPr/>
      </w:pPr>
      <w:r w:rsidDel="00000000" w:rsidR="00000000" w:rsidRPr="00000000">
        <w:rPr>
          <w:rtl w:val="0"/>
        </w:rPr>
        <w:t xml:space="preserve">Controlar as Comunicações</w:t>
      </w:r>
    </w:p>
    <w:p w:rsidR="00000000" w:rsidDel="00000000" w:rsidP="00000000" w:rsidRDefault="00000000" w:rsidRPr="00000000">
      <w:pPr>
        <w:ind w:left="21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36" w:firstLine="0"/>
        <w:contextualSpacing w:val="0"/>
        <w:jc w:val="both"/>
      </w:pPr>
      <w:r w:rsidDel="00000000" w:rsidR="00000000" w:rsidRPr="00000000">
        <w:rPr>
          <w:rtl w:val="0"/>
        </w:rPr>
        <w:t xml:space="preserve">Processo de comunicar e interagir com as partes interessadas para atender suas necessidades e solucionar as questões quando ocorrem.</w:t>
      </w:r>
    </w:p>
    <w:p w:rsidR="00000000" w:rsidDel="00000000" w:rsidP="00000000" w:rsidRDefault="00000000" w:rsidRPr="00000000">
      <w:pPr>
        <w:ind w:left="21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1"/>
          <w:numId w:val="2"/>
        </w:numPr>
        <w:spacing w:before="0" w:lineRule="auto"/>
        <w:ind w:left="576" w:firstLine="0"/>
        <w:rPr/>
      </w:pPr>
      <w:r w:rsidDel="00000000" w:rsidR="00000000" w:rsidRPr="00000000">
        <w:rPr>
          <w:rtl w:val="0"/>
        </w:rPr>
        <w:t xml:space="preserve">Ferramentas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Análise de Requisitos de Comunicação: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análise dos requisitos de comunicação determina as necessidades de informação das partes interessadas no projeto. Esses requisitos são definidos pela combinação do tipo e formato das informações necessárias com uma análise do valor dessas informações. Os recursos do projeto devem ser gastos apenas na comunicação de informações que contribui para o sucesso do projeto ou onde a falta de comunicação pode levar ao fracasso. Toda a análise está documentada na Matriz das Comunicações.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Tecnologia da Comunicação: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Os métodos de transferência de informação estão determinados na Matriz de Comunicações. Abaixo teremos uma descrição de como deverá se utilizada as tecnologias: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E-mails: Deverão ser claros e objetivos, assim teremos uma comunicação eficaz entre as partes.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Atas de Reunião: As atas de reunião apresentarão os pontos levantados e próximos passos a serem seguidos pela equipe.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Termo de Aceite: A cada fase de entrega o Gerente de Projetos terá como responsabilidade coletar a aprovação e assinatura das partes interessadas que estão estabelecidas na Matriz de Comunicações, através de um template e armazenadas na pasta do projeto.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Reuniões de acompanhamento: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Os participantes receberão uma pré-pauta antecipada e deverão sugerir temas no máximo três dias antes do fechamento da pauta, cabendo ao gerente de projeto analisar a inclusão. A pauta será fechada até às onze horas do dia anterior da reunião.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 Report: Deverá conter dados claros para a fácil compreensão. Esses dados serão coletados e consolidados pelo Gerente de Projetos, que terá a responsabilidade de encaminhar para as partes interessadas mapeadas na Matriz de Comunicação.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1"/>
          <w:numId w:val="2"/>
        </w:numPr>
        <w:spacing w:before="0" w:lineRule="auto"/>
        <w:ind w:left="576" w:firstLine="0"/>
        <w:rPr/>
      </w:pPr>
      <w:r w:rsidDel="00000000" w:rsidR="00000000" w:rsidRPr="00000000">
        <w:rPr>
          <w:rtl w:val="0"/>
        </w:rPr>
        <w:t xml:space="preserve">Documentos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561.0" w:type="dxa"/>
        <w:jc w:val="left"/>
        <w:tblInd w:w="-56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324"/>
        <w:gridCol w:w="3828"/>
        <w:gridCol w:w="2409"/>
        <w:tblGridChange w:id="0">
          <w:tblGrid>
            <w:gridCol w:w="2324"/>
            <w:gridCol w:w="3828"/>
            <w:gridCol w:w="2409"/>
          </w:tblGrid>
        </w:tblGridChange>
      </w:tblGrid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Template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Plano de Gerenciamento de Comunicações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 como finalidade orientar como, onde e quando realizar as atividades de comunicações.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Plano de Gerenciamento de Comunicações.doc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das comunicações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 com a finalidade de registrar o propósito das comunicações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das comunicações.xls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before="0" w:lineRule="auto"/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Requisitos de Comunicação das Partes Interessadas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requisitos de comunicação para cada Parte Interessada estará declarada na Matriz de Comunicação e será de responsabilidade do Gerente de Projetos atualizar durante o projeto.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caso de mudança no meio de comunicação a Parte Interessada afetada será avisada com uma semana de antecedência. Essa decisão é de responsabilidade do Gerente de Projetos.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before="0" w:lineRule="auto"/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Responsabilidade e receptores de Informações</w:t>
      </w:r>
    </w:p>
    <w:p w:rsidR="00000000" w:rsidDel="00000000" w:rsidP="00000000" w:rsidRDefault="00000000" w:rsidRPr="00000000">
      <w:pPr>
        <w:pStyle w:val="Heading1"/>
        <w:spacing w:before="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Estará especificada dentro da Matriz de Comunicações a responsabilidade por gerar cada informação, assim como quem deverá ter acesso a essa informação.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tabs>
          <w:tab w:val="center" w:pos="4320"/>
          <w:tab w:val="right" w:pos="8640"/>
        </w:tabs>
        <w:spacing w:before="0" w:lineRule="auto"/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Classificação e restrições das comunicações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Todo documento terá a seguinte classificação: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Sigilosa: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Pessoas específicas terão acesso.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equipes envolvidas no projeto terão acesso à informação.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Setorial: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Essa informação será restrita a uma equipe.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Externa: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Qualquer parte interessada terá acesso à informação, essas poderão também ser repassadas a impressa sem a aprovação do Gerente de Projetos.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violação dessas restrições poderá declarar o fim do projeto e a investigação dos envolvidos cabendo à punição desses pelo poder judiciário, por esse motivo todos os envolvidos terão que assinar um termo de segurança da informação.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before="0" w:lineRule="auto"/>
        <w:ind w:left="432" w:hanging="43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Processo de Mudança e Atualização dos Documentos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documentos que sofrerem atualizações durante o projeto deverão ser divulgados às partes  interessadas e no seu versionamento deverá conter o número da nova versão, o responsável pela atualização e o histórico.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before="0" w:lineRule="auto"/>
        <w:ind w:left="432" w:hanging="43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Aprovação do Plano de Gerenciamento do Escopo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669.999999999998" w:type="dxa"/>
        <w:jc w:val="left"/>
        <w:tblInd w:w="-56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579"/>
        <w:gridCol w:w="3039"/>
        <w:gridCol w:w="3039"/>
        <w:gridCol w:w="1013"/>
        <w:tblGridChange w:id="0">
          <w:tblGrid>
            <w:gridCol w:w="1579"/>
            <w:gridCol w:w="3039"/>
            <w:gridCol w:w="3039"/>
            <w:gridCol w:w="1013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Patrocinador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João Batista Simão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Cecília Assis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</w:pPr>
    <w:r w:rsidDel="00000000" w:rsidR="00000000" w:rsidRPr="00000000">
      <w:rPr>
        <w:rtl w:val="0"/>
      </w:rPr>
    </w:r>
  </w:p>
  <w:tbl>
    <w:tblPr>
      <w:tblStyle w:val="Table5"/>
      <w:bidiVisual w:val="0"/>
      <w:tblW w:w="9043.0" w:type="dxa"/>
      <w:jc w:val="center"/>
      <w:tblBorders>
        <w:top w:color="00000a" w:space="0" w:sz="4" w:val="single"/>
      </w:tblBorders>
      <w:tblLayout w:type="fixed"/>
      <w:tblLook w:val="0000"/>
    </w:tblPr>
    <w:tblGrid>
      <w:gridCol w:w="9043"/>
      <w:tblGridChange w:id="0">
        <w:tblGrid>
          <w:gridCol w:w="9043"/>
        </w:tblGrid>
      </w:tblGridChange>
    </w:tblGrid>
    <w:tr>
      <w:tc>
        <w:tcPr>
          <w:tcBorders>
            <w:top w:color="00000a" w:space="0" w:sz="4" w:val="single"/>
          </w:tcBorders>
          <w:shd w:fill="ffffff"/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20" w:before="120" w:lineRule="auto"/>
            <w:contextualSpacing w:val="0"/>
            <w:jc w:val="right"/>
          </w:pPr>
          <w:r w:rsidDel="00000000" w:rsidR="00000000" w:rsidRPr="00000000">
            <w:rPr>
              <w:color w:val="244061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color w:val="244061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4905375</wp:posOffset>
          </wp:positionH>
          <wp:positionV relativeFrom="paragraph">
            <wp:posOffset>0</wp:posOffset>
          </wp:positionV>
          <wp:extent cx="907191" cy="871538"/>
          <wp:effectExtent b="0" l="0" r="0" t="0"/>
          <wp:wrapSquare wrapText="bothSides" distB="114300" distT="114300" distL="114300" distR="114300"/>
          <wp:docPr descr="images" id="1" name="image01.png"/>
          <a:graphic>
            <a:graphicData uri="http://schemas.openxmlformats.org/drawingml/2006/picture">
              <pic:pic>
                <pic:nvPicPr>
                  <pic:cNvPr descr="images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7191" cy="87153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4"/>
      <w:bidiVisual w:val="0"/>
      <w:tblW w:w="747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70"/>
      <w:tblGridChange w:id="0">
        <w:tblGrid>
          <w:gridCol w:w="747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before="720" w:lineRule="auto"/>
            <w:contextualSpacing w:val="0"/>
          </w:pPr>
          <w:r w:rsidDel="00000000" w:rsidR="00000000" w:rsidRPr="00000000">
            <w:rPr>
              <w:color w:val="00000a"/>
              <w:rtl w:val="0"/>
            </w:rPr>
            <w:t xml:space="preserve">Criação e Implantação da Empresa Júnior do Curso de Sistemas de Informação, Universidade Federal de Uberlândia Campus Monte Carmelo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before="720" w:lineRule="auto"/>
            <w:contextualSpacing w:val="0"/>
            <w:jc w:val="right"/>
          </w:pPr>
          <w:r w:rsidDel="00000000" w:rsidR="00000000" w:rsidRPr="00000000">
            <w:rPr>
              <w:b w:val="1"/>
              <w:color w:val="00000a"/>
              <w:rtl w:val="0"/>
            </w:rPr>
            <w:t xml:space="preserve">Plano de Gerenciamento das Comunicações</w:t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/>
    </w:lvl>
    <w:lvl w:ilvl="1">
      <w:start w:val="1"/>
      <w:numFmt w:val="decimal"/>
      <w:lvlText w:val="%1.%2"/>
      <w:lvlJc w:val="left"/>
      <w:pPr>
        <w:ind w:left="576" w:firstLine="576"/>
      </w:pPr>
      <w:rPr/>
    </w:lvl>
    <w:lvl w:ilvl="2">
      <w:start w:val="1"/>
      <w:numFmt w:val="decimal"/>
      <w:lvlText w:val="%1.%2.%3"/>
      <w:lvlJc w:val="left"/>
      <w:pPr>
        <w:ind w:left="720" w:firstLine="720"/>
      </w:pPr>
      <w:rPr/>
    </w:lvl>
    <w:lvl w:ilvl="3">
      <w:start w:val="1"/>
      <w:numFmt w:val="decimal"/>
      <w:lvlText w:val="%1.%2.%3.%4"/>
      <w:lvlJc w:val="left"/>
      <w:pPr>
        <w:ind w:left="864" w:firstLine="864"/>
      </w:pPr>
      <w:rPr/>
    </w:lvl>
    <w:lvl w:ilvl="4">
      <w:start w:val="1"/>
      <w:numFmt w:val="decimal"/>
      <w:lvlText w:val="%1.%2.%3.%4.%5"/>
      <w:lvlJc w:val="left"/>
      <w:pPr>
        <w:ind w:left="1008" w:firstLine="1008"/>
      </w:pPr>
      <w:rPr/>
    </w:lvl>
    <w:lvl w:ilvl="5">
      <w:start w:val="1"/>
      <w:numFmt w:val="decimal"/>
      <w:lvlText w:val="%1.%2.%3.%4.%5.%6"/>
      <w:lvlJc w:val="left"/>
      <w:pPr>
        <w:ind w:left="1152" w:firstLine="1152"/>
      </w:pPr>
      <w:rPr/>
    </w:lvl>
    <w:lvl w:ilvl="6">
      <w:start w:val="1"/>
      <w:numFmt w:val="decimal"/>
      <w:lvlText w:val="%1.%2.%3.%4.%5.%6.%7"/>
      <w:lvlJc w:val="left"/>
      <w:pPr>
        <w:ind w:left="1296" w:firstLine="1296"/>
      </w:pPr>
      <w:rPr/>
    </w:lvl>
    <w:lvl w:ilvl="7">
      <w:start w:val="1"/>
      <w:numFmt w:val="decimal"/>
      <w:lvlText w:val="%1.%2.%3.%4.%5.%6.%7.%8"/>
      <w:lvlJc w:val="left"/>
      <w:pPr>
        <w:ind w:left="1440" w:firstLine="1440"/>
      </w:pPr>
      <w:rPr/>
    </w:lvl>
    <w:lvl w:ilvl="8">
      <w:start w:val="1"/>
      <w:numFmt w:val="decimal"/>
      <w:lvlText w:val="%1.%2.%3.%4.%5.%6.%7.%8.%9"/>
      <w:lvlJc w:val="left"/>
      <w:pPr>
        <w:ind w:left="1584" w:firstLine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="240" w:lineRule="auto"/>
      <w:ind w:left="432" w:hanging="432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  <w:ind w:left="576" w:hanging="576"/>
    </w:pPr>
    <w:rPr>
      <w:rFonts w:ascii="Cambria" w:cs="Cambria" w:eastAsia="Cambria" w:hAnsi="Cambria"/>
      <w:b w:val="0"/>
      <w:color w:val="365f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="240" w:lineRule="auto"/>
      <w:ind w:left="720" w:hanging="72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40" w:lineRule="auto"/>
      <w:ind w:left="864" w:hanging="864"/>
    </w:pPr>
    <w:rPr>
      <w:rFonts w:ascii="Cambria" w:cs="Cambria" w:eastAsia="Cambria" w:hAnsi="Cambria"/>
      <w:b w:val="0"/>
      <w:i w:val="1"/>
      <w:color w:val="365f9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  <w:ind w:left="1008" w:hanging="1008"/>
    </w:pPr>
    <w:rPr>
      <w:rFonts w:ascii="Cambria" w:cs="Cambria" w:eastAsia="Cambria" w:hAnsi="Cambria"/>
      <w:b w:val="0"/>
      <w:color w:val="365f9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  <w:ind w:left="1152" w:hanging="1152"/>
    </w:pPr>
    <w:rPr>
      <w:rFonts w:ascii="Cambria" w:cs="Cambria" w:eastAsia="Cambria" w:hAnsi="Cambria"/>
      <w:b w:val="0"/>
      <w:color w:val="243f6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mbria" w:cs="Cambria" w:eastAsia="Cambria" w:hAnsi="Cambria"/>
      <w:b w:val="0"/>
      <w:color w:val="1f497d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