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20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5"/>
        <w:gridCol w:w="1125"/>
        <w:gridCol w:w="2415"/>
        <w:gridCol w:w="5145"/>
        <w:tblGridChange w:id="0">
          <w:tblGrid>
            <w:gridCol w:w="735"/>
            <w:gridCol w:w="1125"/>
            <w:gridCol w:w="2415"/>
            <w:gridCol w:w="514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11/11/2016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40" w:lineRule="auto"/>
        <w:ind w:left="432"/>
        <w:contextualSpacing w:val="0"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>
      <w:pPr>
        <w:keepNext w:val="1"/>
        <w:keepLines w:val="1"/>
        <w:spacing w:line="240" w:lineRule="auto"/>
        <w:ind w:left="432"/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numPr>
              <w:ilvl w:val="0"/>
              <w:numId w:val="1"/>
            </w:numPr>
            <w:spacing w:line="240" w:lineRule="auto"/>
            <w:ind w:left="720" w:hanging="360"/>
            <w:contextualSpacing w:val="1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bqhb28znlqk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Objetivo deste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spacing w:line="240" w:lineRule="auto"/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2wuel4d1r8ao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Papéis da Equipe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spacing w:line="240" w:lineRule="auto"/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3r6jvyoch0c4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Sobre os Processos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spacing w:line="240" w:lineRule="auto"/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t4vnxywdmii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Estimativa dos Custos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spacing w:line="240" w:lineRule="auto"/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7p9h029d64v5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Orçamento de Custo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spacing w:line="240" w:lineRule="auto"/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4ijlneqlibq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Controle do Custo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5bqhb28znlqk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Objetivo deste documento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descreve como os processos dos custos serão executados, controlados, monitorados e encerrados. Além de servir como guia para a equipe durante todo o projeto.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2wuel4d1r8ao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Papéis da Equipe do Projeto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50.0" w:type="dxa"/>
        <w:jc w:val="left"/>
        <w:tblInd w:w="1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325"/>
        <w:gridCol w:w="1875"/>
        <w:gridCol w:w="1860"/>
        <w:gridCol w:w="3390"/>
        <w:tblGridChange w:id="0">
          <w:tblGrid>
            <w:gridCol w:w="2325"/>
            <w:gridCol w:w="1875"/>
            <w:gridCol w:w="1860"/>
            <w:gridCol w:w="339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Funções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E-mail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Batista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Cecília Assis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Adelson Pacheco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Alvaro Henrique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4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Amanda Spolti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4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Ibayara Carvalho</w:t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4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Igor Henrique</w:t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7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3r6jvyoch0c4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Sobre os Processos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 gerenciamento de custos do projeto será realizado através da atualização da planilha de acompanhamento financeiro. Todas as estimativas e cálculos são feitos com base na EAP e seus pacotes de trabalho, que são melhor vistos no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rtl w:val="0"/>
        </w:rPr>
        <w:t xml:space="preserve">Dicionário da EAP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t4vnxywdmii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Estimativa dos Custos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o processo de desenvolvimento de uma estimativa de custos dos recursos monetários necessários para terminar as atividades do projeto. Essa estimativa será feita através do método “Bottom-up” em que o custo de pacotes de trabalho individuais ou atividades é estimado com o maior nível de detalhes especificados.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Estimativas vide planilha Orçamento.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7p9h029d64v5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Orçamento de Custo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a agregação dos custos estimados de atividades individuais ou pacotes de trabalho para estabelecer uma linha de base dos custos autorizada. O capital disponibilizado é prioritariamente para os custos que tangem os gastos em cartório e aceitação da documentação inicial. O valor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máximo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ser gasto é R$ 5.000,00, onde: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20% são para contingências;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10% para gerências;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Orçamento vide planilha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4ijlneqlibq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Controle do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 gerenciamento de custos do projeto será realizado com base no orçamento previsto para o projeto, subdividido por pacotes de trabalho e por grupos de recursos, bem como através do fluxo de caixa do projeto. 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Todas as mudanças no orçamento inicialmente previsto para o projeto devem ser avaliadas e classificadas dentro do sistema de controle de mudanças de orçamento, juntamente com a re-análise de riscos intrínsecos a estas mudanças.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restante ao orçado deve ser destinado a gastos extras, que devem ser previamente solicitados via e mail, escrito, WhatsApp e/ou Slack.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4"/>
      <w:bidiVisual w:val="0"/>
      <w:tblW w:w="9043.0" w:type="dxa"/>
      <w:jc w:val="center"/>
      <w:tblInd w:w="-108.0" w:type="dxa"/>
      <w:tblBorders>
        <w:top w:color="00000a" w:space="0" w:sz="4" w:val="single"/>
      </w:tblBorders>
      <w:tblLayout w:type="fixed"/>
      <w:tblLook w:val="0000"/>
    </w:tblPr>
    <w:tblGrid>
      <w:gridCol w:w="9043"/>
      <w:tblGridChange w:id="0">
        <w:tblGrid>
          <w:gridCol w:w="9043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color w:val="244061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color w:val="244061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b="0" l="0" r="0" t="0"/>
          <wp:wrapSquare wrapText="bothSides" distB="114300" distT="114300" distL="114300" distR="114300"/>
          <wp:docPr descr="images" id="1" name="image01.png"/>
          <a:graphic>
            <a:graphicData uri="http://schemas.openxmlformats.org/drawingml/2006/picture">
              <pic:pic>
                <pic:nvPicPr>
                  <pic:cNvPr descr="images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bidiVisual w:val="0"/>
      <w:tblW w:w="7440.0" w:type="dxa"/>
      <w:jc w:val="left"/>
      <w:tblInd w:w="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40"/>
      <w:tblGridChange w:id="0">
        <w:tblGrid>
          <w:gridCol w:w="744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color w:val="00000a"/>
              <w:rtl w:val="0"/>
            </w:rPr>
            <w:t xml:space="preserve">Criação e Implantação da Empresa Júnior do Curso de Sistemas de Informação, Universidade Federal de Uberlândia Campus Monte Carmelo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a"/>
              <w:rtl w:val="0"/>
            </w:rPr>
            <w:t xml:space="preserve">Plano de gerenciamento dos Custos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7.0" w:type="dxa"/>
        <w:left w:w="98.0" w:type="dxa"/>
        <w:bottom w:w="57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na.silva@xxy.com.br" TargetMode="External"/><Relationship Id="rId10" Type="http://schemas.openxmlformats.org/officeDocument/2006/relationships/hyperlink" Target="mailto:ana.silva@xxy.com.br" TargetMode="External"/><Relationship Id="rId13" Type="http://schemas.openxmlformats.org/officeDocument/2006/relationships/hyperlink" Target="mailto:ana.silva@xxy.com.br" TargetMode="External"/><Relationship Id="rId12" Type="http://schemas.openxmlformats.org/officeDocument/2006/relationships/hyperlink" Target="mailto:ana.silva@xxy.com.b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na.silva@xxy.com.br" TargetMode="External"/><Relationship Id="rId15" Type="http://schemas.openxmlformats.org/officeDocument/2006/relationships/hyperlink" Target="mailto:ana.silva@xxy.com.br" TargetMode="External"/><Relationship Id="rId14" Type="http://schemas.openxmlformats.org/officeDocument/2006/relationships/hyperlink" Target="mailto:ana.silva@xxy.com.br" TargetMode="External"/><Relationship Id="rId17" Type="http://schemas.openxmlformats.org/officeDocument/2006/relationships/hyperlink" Target="mailto:ana.silva@xxy.com.br" TargetMode="External"/><Relationship Id="rId16" Type="http://schemas.openxmlformats.org/officeDocument/2006/relationships/hyperlink" Target="mailto:ana.silva@xxy.com.br" TargetMode="External"/><Relationship Id="rId5" Type="http://schemas.openxmlformats.org/officeDocument/2006/relationships/hyperlink" Target="mailto:maria.aparecida@xxy.com.br" TargetMode="External"/><Relationship Id="rId19" Type="http://schemas.openxmlformats.org/officeDocument/2006/relationships/footer" Target="footer1.xml"/><Relationship Id="rId6" Type="http://schemas.openxmlformats.org/officeDocument/2006/relationships/hyperlink" Target="https://sn2prd0202.outlook.com/owa/redir.aspx?C=wT0K05wXN0u3fSYvHMHyHdO4BlI1oM8IvnNhmP0PZhhUAIBrs9aVQDwA5JPoWdlZcuBKkcS3Y4w.&amp;URL=mailto%3Apatriciatoffolo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sn2prd0202.outlook.com/owa/redir.aspx?C=wT0K05wXN0u3fSYvHMHyHdO4BlI1oM8IvnNhmP0PZhhUAIBrs9aVQDwA5JPoWdlZcuBKkcS3Y4w.&amp;URL=mailto%3Adanilo.souza@fatec.sp.gov.br" TargetMode="External"/><Relationship Id="rId8" Type="http://schemas.openxmlformats.org/officeDocument/2006/relationships/hyperlink" Target="mailto:hsilva@xxy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