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T3N ADK Bounty Submission</w:t>
      </w:r>
    </w:p>
    <w:bookmarkStart w:id="16" w:name="Xf5d12419e382fd191661156b861c2572618ffa4"/>
    <w:p>
      <w:pPr>
        <w:pStyle w:val="Heading1"/>
      </w:pPr>
      <w:r>
        <w:t xml:space="preserve">T3N ADK Bounty Submission — Confidential Expense Approver Agent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ceco3000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2026-09-02 ·</w:t>
      </w:r>
      <w:r>
        <w:t xml:space="preserve"> </w:t>
      </w:r>
      <w:r>
        <w:rPr>
          <w:b/>
          <w:bCs/>
        </w:rPr>
        <w:t xml:space="preserve">Testnet:</w:t>
      </w:r>
      <w:r>
        <w:t xml:space="preserve"> </w:t>
      </w:r>
      <w:r>
        <w:t xml:space="preserve">live-verified</w:t>
      </w:r>
    </w:p>
    <w:bookmarkStart w:id="9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t xml:space="preserve">An enterprise expense-approval agent whose policy evaluation runs</w:t>
      </w:r>
      <w:r>
        <w:t xml:space="preserve"> </w:t>
      </w:r>
      <w:r>
        <w:rPr>
          <w:b/>
          <w:bCs/>
        </w:rPr>
        <w:t xml:space="preserve">inside the T3N TEE</w:t>
      </w:r>
      <w:r>
        <w:t xml:space="preserve">:</w:t>
      </w:r>
      <w:r>
        <w:t xml:space="preserve"> </w:t>
      </w:r>
      <w:r>
        <w:t xml:space="preserve">submissions are validated in-enclave (amount bands, category allowlist, duplicate detection),</w:t>
      </w:r>
      <w:r>
        <w:t xml:space="preserve"> </w:t>
      </w:r>
      <w:r>
        <w:t xml:space="preserve">PII is hashed at a single choke point before any storage, and only decisions, reasons,</w:t>
      </w:r>
      <w:r>
        <w:t xml:space="preserve"> </w:t>
      </w:r>
      <w:r>
        <w:t xml:space="preserve">and audit digests ever cross back to the caller.</w:t>
      </w:r>
    </w:p>
    <w:p>
      <w:pPr>
        <w:pStyle w:val="BodyText"/>
      </w:pPr>
      <w:r>
        <w:rPr>
          <w:b/>
          <w:bCs/>
        </w:rPr>
        <w:t xml:space="preserve">Why useful:</w:t>
      </w:r>
      <w:r>
        <w:t xml:space="preserve"> </w:t>
      </w:r>
      <w:r>
        <w:t xml:space="preserve">every company has an expense flow; most of them ship employee PII</w:t>
      </w:r>
      <w:r>
        <w:t xml:space="preserve"> </w:t>
      </w:r>
      <w:r>
        <w:t xml:space="preserve">(names, bank details, receipts) through regular servers. This agent demonstrates the</w:t>
      </w:r>
      <w:r>
        <w:t xml:space="preserve"> </w:t>
      </w:r>
      <w:r>
        <w:t xml:space="preserve">T3N value proposition — confidential computation with agent identity — on a real,</w:t>
      </w:r>
      <w:r>
        <w:t xml:space="preserve"> </w:t>
      </w:r>
      <w:r>
        <w:t xml:space="preserve">maintainable business workflow, with zero third-party API dependencies (fully</w:t>
      </w:r>
      <w:r>
        <w:t xml:space="preserve"> </w:t>
      </w:r>
      <w:r>
        <w:t xml:space="preserve">deterministic, demoable, and cheap to keep running post-challenge).</w:t>
      </w:r>
    </w:p>
    <w:bookmarkEnd w:id="9"/>
    <w:bookmarkStart w:id="10" w:name="live-artifacts-testnet"/>
    <w:p>
      <w:pPr>
        <w:pStyle w:val="Heading2"/>
      </w:pPr>
      <w:r>
        <w:t xml:space="preserve">Live artifacts (testnet)</w:t>
      </w:r>
    </w:p>
    <w:p>
      <w:pPr>
        <w:pStyle w:val="Compact"/>
        <w:numPr>
          <w:ilvl w:val="0"/>
          <w:numId w:val="1001"/>
        </w:numPr>
      </w:pPr>
      <w:r>
        <w:t xml:space="preserve">GitHub repo (public): https://github.com/ceco3000/t3n-expense-approver</w:t>
      </w:r>
    </w:p>
    <w:p>
      <w:pPr>
        <w:pStyle w:val="Compact"/>
        <w:numPr>
          <w:ilvl w:val="0"/>
          <w:numId w:val="1001"/>
        </w:numPr>
      </w:pPr>
      <w:r>
        <w:t xml:space="preserve">Tenant DID:</w:t>
      </w:r>
      <w:r>
        <w:t xml:space="preserve"> </w:t>
      </w:r>
      <w:r>
        <w:rPr>
          <w:rStyle w:val="VerbatimChar"/>
        </w:rPr>
        <w:t xml:space="preserve">did:t3n:a47d9e420654150ffb664311f886990e60a51037</w:t>
      </w:r>
    </w:p>
    <w:p>
      <w:pPr>
        <w:pStyle w:val="Compact"/>
        <w:numPr>
          <w:ilvl w:val="0"/>
          <w:numId w:val="1001"/>
        </w:numPr>
      </w:pPr>
      <w:r>
        <w:t xml:space="preserve">Contract:</w:t>
      </w:r>
      <w:r>
        <w:t xml:space="preserve"> </w:t>
      </w:r>
      <w:r>
        <w:rPr>
          <w:rStyle w:val="VerbatimChar"/>
        </w:rPr>
        <w:t xml:space="preserve">z:a47d9e420654150ffb664311f886990e60a51037:expense-ledger</w:t>
      </w:r>
      <w:r>
        <w:t xml:space="preserve"> </w:t>
      </w:r>
      <w:r>
        <w:t xml:space="preserve">v0.1.2 (contract id 861)</w:t>
      </w:r>
    </w:p>
    <w:p>
      <w:pPr>
        <w:pStyle w:val="Compact"/>
        <w:numPr>
          <w:ilvl w:val="0"/>
          <w:numId w:val="1001"/>
        </w:numPr>
      </w:pPr>
      <w:r>
        <w:t xml:space="preserve">Agent card (ERC-8004, hosted + published on T3N): https://cn-api.sg.testnet.t3n.terminal3.io/api/agent-card/did:t3n:a47d9e420654150ffb664311f886990e60a51037</w:t>
      </w:r>
    </w:p>
    <w:p>
      <w:pPr>
        <w:pStyle w:val="Compact"/>
        <w:numPr>
          <w:ilvl w:val="0"/>
          <w:numId w:val="1001"/>
        </w:numPr>
      </w:pPr>
      <w:r>
        <w:t xml:space="preserve">KV map:</w:t>
      </w:r>
      <w:r>
        <w:t xml:space="preserve"> </w:t>
      </w:r>
      <w:r>
        <w:rPr>
          <w:rStyle w:val="VerbatimChar"/>
        </w:rPr>
        <w:t xml:space="preserve">z:&lt;tid&gt;:expense-ledger</w:t>
      </w:r>
      <w:r>
        <w:t xml:space="preserve"> </w:t>
      </w:r>
      <w:r>
        <w:t xml:space="preserve">— private; writers/readers = contract 861</w:t>
      </w:r>
    </w:p>
    <w:bookmarkEnd w:id="10"/>
    <w:bookmarkStart w:id="11" w:name="how-it-works"/>
    <w:p>
      <w:pPr>
        <w:pStyle w:val="Heading2"/>
      </w:pPr>
      <w:r>
        <w:t xml:space="preserve">How it works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submit-expense(input)</w:t>
      </w:r>
      <w:r>
        <w:t xml:space="preserve">: validates category allowlist</w:t>
      </w:r>
      <w:r>
        <w:t xml:space="preserve"> </w:t>
      </w:r>
      <w:r>
        <w:rPr>
          <w:rStyle w:val="VerbatimChar"/>
        </w:rPr>
        <w:t xml:space="preserve">{meals, transport, accommodation, software, office}</w:t>
      </w:r>
      <w:r>
        <w:t xml:space="preserve">, amount bands (≤$200 auto-approve; ≤$1000 pending/manual review; &gt;$1000 rejected; hard ceiling $10,000), and duplicate detection via</w:t>
      </w:r>
      <w:r>
        <w:t xml:space="preserve"> </w:t>
      </w:r>
      <w:r>
        <w:rPr>
          <w:rStyle w:val="VerbatimChar"/>
        </w:rPr>
        <w:t xml:space="preserve">sha256(receipt_ref)</w:t>
      </w:r>
      <w:r>
        <w:t xml:space="preserve">. Persists an anonymized record — employee and receipt hashed, never raw.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list-approvals()</w:t>
      </w:r>
      <w:r>
        <w:t xml:space="preserve">: range-scans the ledger and returns anonymized records (no PII) for reporting.</w:t>
      </w:r>
    </w:p>
    <w:p>
      <w:pPr>
        <w:pStyle w:val="Compact"/>
        <w:numPr>
          <w:ilvl w:val="0"/>
          <w:numId w:val="1002"/>
        </w:numPr>
      </w:pPr>
      <w:r>
        <w:t xml:space="preserve">PII handling is centralized in one function (</w:t>
      </w:r>
      <w:r>
        <w:rPr>
          <w:rStyle w:val="VerbatimChar"/>
        </w:rPr>
        <w:t xml:space="preserve">hash_pii</w:t>
      </w:r>
      <w:r>
        <w:t xml:space="preserve">), so auditing one function audits every PII exit.</w:t>
      </w:r>
    </w:p>
    <w:p>
      <w:pPr>
        <w:pStyle w:val="Compact"/>
        <w:numPr>
          <w:ilvl w:val="0"/>
          <w:numId w:val="1002"/>
        </w:numPr>
      </w:pPr>
      <w:r>
        <w:t xml:space="preserve">Policy constants are versioned in one place (expense.rs) for easy maintenance.</w:t>
      </w:r>
    </w:p>
    <w:bookmarkEnd w:id="11"/>
    <w:bookmarkStart w:id="12" w:name="screenshots"/>
    <w:p>
      <w:pPr>
        <w:pStyle w:val="Heading2"/>
      </w:pPr>
      <w:r>
        <w:t xml:space="preserve">Screenshots</w:t>
      </w:r>
    </w:p>
    <w:p>
      <w:pPr>
        <w:pStyle w:val="FirstParagraph"/>
      </w:pPr>
      <w:r>
        <w:t xml:space="preserve">[Screenshot 1: contract unit tests 6/6 passed]</w:t>
      </w:r>
      <w:r>
        <w:t xml:space="preserve"> </w:t>
      </w:r>
      <w:r>
        <w:t xml:space="preserve">[Screenshot 2: contract registration — contract id 861]</w:t>
      </w:r>
      <w:r>
        <w:t xml:space="preserve"> </w:t>
      </w:r>
      <w:r>
        <w:t xml:space="preserve">[Screenshot 3: live TEE execution — 5 scenarios verified]</w:t>
      </w:r>
    </w:p>
    <w:bookmarkEnd w:id="12"/>
    <w:bookmarkStart w:id="13" w:name="live-verification-2026-09-02-testnet"/>
    <w:p>
      <w:pPr>
        <w:pStyle w:val="Heading2"/>
      </w:pPr>
      <w:r>
        <w:t xml:space="preserve">Live verification (2026-09-02, testnet)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expense</w:t>
            </w:r>
          </w:p>
        </w:tc>
        <w:tc>
          <w:tcPr/>
          <w:p>
            <w:pPr>
              <w:pStyle w:val="Compact"/>
            </w:pPr>
            <w:r>
              <w:t xml:space="preserve">$45 meals, fresh receipt</w:t>
            </w:r>
          </w:p>
        </w:tc>
        <w:tc>
          <w:tcPr/>
          <w:p>
            <w:pPr>
              <w:pStyle w:val="Compact"/>
            </w:pP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expense</w:t>
            </w:r>
          </w:p>
        </w:tc>
        <w:tc>
          <w:tcPr/>
          <w:p>
            <w:pPr>
              <w:pStyle w:val="Compact"/>
            </w:pPr>
            <w:r>
              <w:t xml:space="preserve">$600 transport, fresh receipt</w:t>
            </w:r>
          </w:p>
        </w:tc>
        <w:tc>
          <w:tcPr/>
          <w:p>
            <w:pPr>
              <w:pStyle w:val="Compact"/>
            </w:pPr>
            <w:r>
              <w:t xml:space="preserve">pending → manual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Oversized expense</w:t>
            </w:r>
          </w:p>
        </w:tc>
        <w:tc>
          <w:tcPr/>
          <w:p>
            <w:pPr>
              <w:pStyle w:val="Compact"/>
            </w:pPr>
            <w:r>
              <w:t xml:space="preserve">$2,500 software, fresh receipt</w:t>
            </w:r>
          </w:p>
        </w:tc>
        <w:tc>
          <w:tcPr/>
          <w:p>
            <w:pPr>
              <w:pStyle w:val="Compact"/>
            </w:pPr>
            <w:r>
              <w:t xml:space="preserve">rejected (policy ceiling)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receipt</w:t>
            </w:r>
          </w:p>
        </w:tc>
        <w:tc>
          <w:tcPr/>
          <w:p>
            <w:pPr>
              <w:pStyle w:val="Compact"/>
            </w:pPr>
            <w:r>
              <w:t xml:space="preserve">same receipt as scenario 1</w:t>
            </w:r>
          </w:p>
        </w:tc>
        <w:tc>
          <w:tcPr/>
          <w:p>
            <w:pPr>
              <w:pStyle w:val="Compact"/>
            </w:pPr>
            <w:r>
              <w:t xml:space="preserve">rejected (duplicate detected; same record hash)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Ledger readback</w:t>
            </w:r>
          </w:p>
        </w:tc>
        <w:tc>
          <w:tcPr/>
          <w:p>
            <w:pPr>
              <w:pStyle w:val="Compact"/>
            </w:pPr>
            <w:r>
              <w:t xml:space="preserve">list-approvals</w:t>
            </w:r>
          </w:p>
        </w:tc>
        <w:tc>
          <w:tcPr/>
          <w:p>
            <w:pPr>
              <w:pStyle w:val="Compact"/>
            </w:pPr>
            <w:r>
              <w:t xml:space="preserve">records returned newest-first, fully anonymized</w:t>
            </w:r>
          </w:p>
        </w:tc>
      </w:tr>
    </w:tbl>
    <w:bookmarkEnd w:id="13"/>
    <w:bookmarkStart w:id="14" w:name="Xae57d7d7e88bdc49a8ae9528d6e9a2201346921"/>
    <w:p>
      <w:pPr>
        <w:pStyle w:val="Heading2"/>
      </w:pPr>
      <w:r>
        <w:t xml:space="preserve">Bugs found while building (reported to T3N docs team via this submission)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SDK ≥ 5.3.0 rejects the cn-api trust manifest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fetchTrustedManifest("testnet")</w:t>
      </w:r>
      <w:r>
        <w:t xml:space="preserve"> </w:t>
      </w:r>
      <w:r>
        <w:t xml:space="preserve">fails with</w:t>
      </w:r>
      <w:r>
        <w:t xml:space="preserve"> </w:t>
      </w:r>
      <w:r>
        <w:t xml:space="preserve">“Trust manifest … is malformed”</w:t>
      </w:r>
      <w:r>
        <w:t xml:space="preserve"> </w:t>
      </w:r>
      <w:r>
        <w:t xml:space="preserve">on SDK 5.3.0–5.6.0. Root cause (source-level):</w:t>
      </w:r>
      <w:r>
        <w:t xml:space="preserve"> </w:t>
      </w:r>
      <w:r>
        <w:rPr>
          <w:rStyle w:val="VerbatimChar"/>
        </w:rPr>
        <w:t xml:space="preserve">isSignedTrustManifest</w:t>
      </w:r>
      <w:r>
        <w:t xml:space="preserve"> </w:t>
      </w:r>
      <w:r>
        <w:t xml:space="preserve">requires a third string-array field that cn-api’s manifest (signed 2026-08-27) does not include. Pinned SDK 5.2.0 as a workaround. Full write-up in BUG_REPORT.md.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KV map deletion never completes</w:t>
      </w:r>
      <w:r>
        <w:t xml:space="preserve"> </w:t>
      </w:r>
      <w:r>
        <w:t xml:space="preserve">— after</w:t>
      </w:r>
      <w:r>
        <w:t xml:space="preserve"> </w:t>
      </w:r>
      <w:r>
        <w:rPr>
          <w:rStyle w:val="VerbatimChar"/>
        </w:rPr>
        <w:t xml:space="preserve">maps.delete</w:t>
      </w:r>
      <w:r>
        <w:t xml:space="preserve">, the map stays in</w:t>
      </w:r>
      <w:r>
        <w:t xml:space="preserve"> </w:t>
      </w:r>
      <w:r>
        <w:rPr>
          <w:rStyle w:val="VerbatimChar"/>
        </w:rPr>
        <w:t xml:space="preserve">deleting</w:t>
      </w:r>
      <w:r>
        <w:t xml:space="preserve"> </w:t>
      </w:r>
      <w:r>
        <w:t xml:space="preserve">state indefinitely (&gt;2 min), blocking re-create of the same name. Worked around with a fresh map name (</w:t>
      </w:r>
      <w:r>
        <w:rPr>
          <w:rStyle w:val="VerbatimChar"/>
        </w:rPr>
        <w:t xml:space="preserve">expense-ledger</w:t>
      </w:r>
      <w:r>
        <w:t xml:space="preserve">).</w:t>
      </w:r>
    </w:p>
    <w:bookmarkEnd w:id="14"/>
    <w:bookmarkStart w:id="15" w:name="maintenance-post-challenge-running"/>
    <w:p>
      <w:pPr>
        <w:pStyle w:val="Heading2"/>
      </w:pPr>
      <w:r>
        <w:t xml:space="preserve">Maintenance &amp; post-challenge running</w:t>
      </w:r>
    </w:p>
    <w:p>
      <w:pPr>
        <w:pStyle w:val="Compact"/>
        <w:numPr>
          <w:ilvl w:val="0"/>
          <w:numId w:val="1004"/>
        </w:numPr>
      </w:pPr>
      <w:r>
        <w:t xml:space="preserve">I would like to keep running this agent; it costs nothing outside testnet credits and the scenario runner is deterministic.</w:t>
      </w:r>
    </w:p>
    <w:p>
      <w:pPr>
        <w:pStyle w:val="Compact"/>
        <w:numPr>
          <w:ilvl w:val="0"/>
          <w:numId w:val="1004"/>
        </w:numPr>
      </w:pPr>
      <w:r>
        <w:t xml:space="preserve">v0.2 plan: per-tenant policy overrides via a</w:t>
      </w:r>
      <w:r>
        <w:t xml:space="preserve"> </w:t>
      </w:r>
      <w:r>
        <w:rPr>
          <w:rStyle w:val="VerbatimChar"/>
        </w:rPr>
        <w:t xml:space="preserve">z:&lt;tid&gt;:expense-policy</w:t>
      </w:r>
      <w:r>
        <w:t xml:space="preserve"> </w:t>
      </w:r>
      <w:r>
        <w:t xml:space="preserve">KV map (the hook already exists in the code), plus an optional webhook notify step using</w:t>
      </w:r>
      <w:r>
        <w:t xml:space="preserve"> </w:t>
      </w:r>
      <w:r>
        <w:rPr>
          <w:rStyle w:val="VerbatimChar"/>
        </w:rPr>
        <w:t xml:space="preserve">http-with-placeholders</w:t>
      </w:r>
      <w:r>
        <w:t xml:space="preserve"> </w:t>
      </w:r>
      <w:r>
        <w:t xml:space="preserve">so PII stays out of WASM memory end-to-end.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T3N ADK Bounty Submission</dc:title>
  <dc:creator/>
  <cp:keywords/>
  <dcterms:created xsi:type="dcterms:W3CDTF">2026-09-02T11:57:00Z</dcterms:created>
  <dcterms:modified xsi:type="dcterms:W3CDTF">2026-09-02T11:57:00Z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