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1561" w14:textId="4EDC520A" w:rsidR="001411A6" w:rsidRDefault="00F462E8" w:rsidP="00F462E8">
      <w:pPr>
        <w:pStyle w:val="Heading2"/>
      </w:pPr>
      <w:r>
        <w:t>Resumen de portafolio de HowTheMarketWorks</w:t>
      </w:r>
    </w:p>
    <w:p w14:paraId="56B15683" w14:textId="77777777" w:rsidR="00F462E8" w:rsidRPr="00F462E8" w:rsidRDefault="00F462E8" w:rsidP="00F462E8"/>
    <w:p w14:paraId="5056FE8B" w14:textId="652D7D9E" w:rsidR="00F462E8" w:rsidRDefault="00F462E8" w:rsidP="00F462E8">
      <w:pPr>
        <w:jc w:val="center"/>
      </w:pPr>
      <w:r w:rsidRPr="00F462E8">
        <w:rPr>
          <w:noProof/>
        </w:rPr>
        <w:drawing>
          <wp:inline distT="0" distB="0" distL="0" distR="0" wp14:anchorId="1D390765" wp14:editId="2FDD6BBC">
            <wp:extent cx="2486043" cy="3124223"/>
            <wp:effectExtent l="0" t="0" r="9525" b="0"/>
            <wp:docPr id="2927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2418" name=""/>
                    <pic:cNvPicPr/>
                  </pic:nvPicPr>
                  <pic:blipFill>
                    <a:blip r:embed="rId5"/>
                    <a:stretch>
                      <a:fillRect/>
                    </a:stretch>
                  </pic:blipFill>
                  <pic:spPr>
                    <a:xfrm>
                      <a:off x="0" y="0"/>
                      <a:ext cx="2486043" cy="3124223"/>
                    </a:xfrm>
                    <a:prstGeom prst="rect">
                      <a:avLst/>
                    </a:prstGeom>
                  </pic:spPr>
                </pic:pic>
              </a:graphicData>
            </a:graphic>
          </wp:inline>
        </w:drawing>
      </w:r>
    </w:p>
    <w:p w14:paraId="6E3FE937" w14:textId="0AC174E9" w:rsidR="00F462E8" w:rsidRDefault="00F462E8" w:rsidP="00F462E8">
      <w:r>
        <w:t>El modelo final fue a base de empresas farmacéuticas y de medicina americanas. Dado la volatilidad del mercado en los últimos meses por cuestiones políticas</w:t>
      </w:r>
      <w:r w:rsidR="00681059">
        <w:t>, las inversiones no fueron tan altas para evitar pérdidas mayores. El valor del portafolio final fue de $12,352.13.</w:t>
      </w:r>
    </w:p>
    <w:p w14:paraId="5BC1C34C" w14:textId="6A723299" w:rsidR="00681059" w:rsidRDefault="00681059" w:rsidP="00F462E8">
      <w:r>
        <w:t>La composición del portafolio es el siguiente:</w:t>
      </w:r>
    </w:p>
    <w:p w14:paraId="7BCE5923" w14:textId="77777777" w:rsidR="00681059" w:rsidRDefault="00681059" w:rsidP="00F462E8"/>
    <w:p w14:paraId="1AA92584" w14:textId="2A771E95" w:rsidR="00681059" w:rsidRDefault="00681059" w:rsidP="00681059">
      <w:pPr>
        <w:pStyle w:val="ListParagraph"/>
        <w:numPr>
          <w:ilvl w:val="0"/>
          <w:numId w:val="1"/>
        </w:numPr>
      </w:pPr>
      <w:r>
        <w:t>JNJ – 29.59%</w:t>
      </w:r>
    </w:p>
    <w:p w14:paraId="5A766136" w14:textId="324B8152" w:rsidR="00681059" w:rsidRDefault="00681059" w:rsidP="00681059">
      <w:pPr>
        <w:pStyle w:val="ListParagraph"/>
        <w:numPr>
          <w:ilvl w:val="0"/>
          <w:numId w:val="1"/>
        </w:numPr>
      </w:pPr>
      <w:r>
        <w:t>VHT – 22.54%</w:t>
      </w:r>
    </w:p>
    <w:p w14:paraId="2554DC53" w14:textId="6D642AA7" w:rsidR="00681059" w:rsidRDefault="00681059" w:rsidP="00681059">
      <w:pPr>
        <w:pStyle w:val="ListParagraph"/>
        <w:numPr>
          <w:ilvl w:val="0"/>
          <w:numId w:val="1"/>
        </w:numPr>
      </w:pPr>
      <w:r>
        <w:t>ABBV – 16.51%</w:t>
      </w:r>
    </w:p>
    <w:p w14:paraId="49EE004F" w14:textId="02462C39" w:rsidR="00681059" w:rsidRDefault="00681059" w:rsidP="00681059">
      <w:pPr>
        <w:pStyle w:val="ListParagraph"/>
        <w:numPr>
          <w:ilvl w:val="0"/>
          <w:numId w:val="1"/>
        </w:numPr>
      </w:pPr>
      <w:r>
        <w:t>MRK – 9.32%</w:t>
      </w:r>
    </w:p>
    <w:p w14:paraId="31DDF358" w14:textId="590D3941" w:rsidR="00681059" w:rsidRDefault="00681059" w:rsidP="00681059">
      <w:pPr>
        <w:pStyle w:val="ListParagraph"/>
        <w:numPr>
          <w:ilvl w:val="0"/>
          <w:numId w:val="1"/>
        </w:numPr>
      </w:pPr>
      <w:r>
        <w:t>MRNA – 6.66%</w:t>
      </w:r>
    </w:p>
    <w:p w14:paraId="0597E8C3" w14:textId="03C53EAA" w:rsidR="00681059" w:rsidRDefault="00681059" w:rsidP="00681059">
      <w:pPr>
        <w:pStyle w:val="ListParagraph"/>
        <w:numPr>
          <w:ilvl w:val="0"/>
          <w:numId w:val="1"/>
        </w:numPr>
      </w:pPr>
      <w:r>
        <w:t>Otros – 2.17%</w:t>
      </w:r>
    </w:p>
    <w:p w14:paraId="178EFF24" w14:textId="77777777" w:rsidR="00E87EB9" w:rsidRDefault="00E87EB9" w:rsidP="00E87EB9">
      <w:pPr>
        <w:ind w:left="360"/>
      </w:pPr>
    </w:p>
    <w:p w14:paraId="71C87406" w14:textId="77777777" w:rsidR="00E87EB9" w:rsidRDefault="00E87EB9" w:rsidP="00E87EB9">
      <w:pPr>
        <w:ind w:left="360"/>
      </w:pPr>
    </w:p>
    <w:p w14:paraId="5DF75312" w14:textId="77777777" w:rsidR="00E87EB9" w:rsidRDefault="00E87EB9" w:rsidP="00E87EB9">
      <w:pPr>
        <w:ind w:left="360"/>
      </w:pPr>
    </w:p>
    <w:p w14:paraId="0D02EAC4" w14:textId="77777777" w:rsidR="00E87EB9" w:rsidRDefault="00E87EB9" w:rsidP="00E87EB9">
      <w:pPr>
        <w:ind w:left="360"/>
      </w:pPr>
    </w:p>
    <w:p w14:paraId="2AC878AA" w14:textId="5ACB6F1D" w:rsidR="00E87EB9" w:rsidRDefault="00E87EB9" w:rsidP="00E87EB9">
      <w:pPr>
        <w:pStyle w:val="Subtitle"/>
      </w:pPr>
      <w:r>
        <w:lastRenderedPageBreak/>
        <w:t>Desglose de acciones el 12/3/2026</w:t>
      </w:r>
    </w:p>
    <w:p w14:paraId="785A2112" w14:textId="743AC0CA" w:rsidR="00681059" w:rsidRDefault="00E87EB9" w:rsidP="00E87EB9">
      <w:pPr>
        <w:ind w:left="360"/>
      </w:pPr>
      <w:r w:rsidRPr="00E87EB9">
        <w:rPr>
          <w:noProof/>
        </w:rPr>
        <w:drawing>
          <wp:inline distT="0" distB="0" distL="0" distR="0" wp14:anchorId="001994F3" wp14:editId="3B27233A">
            <wp:extent cx="5612130" cy="2919095"/>
            <wp:effectExtent l="0" t="0" r="7620" b="0"/>
            <wp:docPr id="3253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2624" name=""/>
                    <pic:cNvPicPr/>
                  </pic:nvPicPr>
                  <pic:blipFill>
                    <a:blip r:embed="rId6"/>
                    <a:stretch>
                      <a:fillRect/>
                    </a:stretch>
                  </pic:blipFill>
                  <pic:spPr>
                    <a:xfrm>
                      <a:off x="0" y="0"/>
                      <a:ext cx="5612130" cy="2919095"/>
                    </a:xfrm>
                    <a:prstGeom prst="rect">
                      <a:avLst/>
                    </a:prstGeom>
                  </pic:spPr>
                </pic:pic>
              </a:graphicData>
            </a:graphic>
          </wp:inline>
        </w:drawing>
      </w:r>
    </w:p>
    <w:p w14:paraId="4E1F4FBF" w14:textId="655AC02D" w:rsidR="00E87EB9" w:rsidRDefault="00E87EB9" w:rsidP="00E87EB9">
      <w:pPr>
        <w:ind w:left="360"/>
      </w:pPr>
      <w:r>
        <w:t>Las acciones americanas no han tenido el mejor desempeño este año en casi todos los diferentes segmentos. En este caso:</w:t>
      </w:r>
    </w:p>
    <w:p w14:paraId="2F66A83B" w14:textId="77777777" w:rsidR="00E87EB9" w:rsidRDefault="00E87EB9" w:rsidP="00E87EB9">
      <w:pPr>
        <w:ind w:left="360"/>
      </w:pPr>
    </w:p>
    <w:p w14:paraId="7FE13223" w14:textId="68287743" w:rsidR="00E87EB9" w:rsidRDefault="00E87EB9" w:rsidP="00E87EB9">
      <w:pPr>
        <w:pStyle w:val="ListParagraph"/>
        <w:numPr>
          <w:ilvl w:val="0"/>
          <w:numId w:val="2"/>
        </w:numPr>
      </w:pPr>
      <w:r>
        <w:t>Pfeizer (PFE): el precio se encuentra actualmente un -2.57% más bajo que al precio de compra. A pesar de que la acción estuvo subiendo por lo general desde enero, se ha encontrado en un precio bajo recientemente.</w:t>
      </w:r>
    </w:p>
    <w:p w14:paraId="594B6744" w14:textId="6079516E" w:rsidR="00E87EB9" w:rsidRDefault="00E87EB9" w:rsidP="00E87EB9">
      <w:pPr>
        <w:pStyle w:val="ListParagraph"/>
        <w:ind w:left="1080"/>
      </w:pPr>
      <w:r w:rsidRPr="00E87EB9">
        <w:rPr>
          <w:noProof/>
        </w:rPr>
        <w:drawing>
          <wp:inline distT="0" distB="0" distL="0" distR="0" wp14:anchorId="2935CFEA" wp14:editId="1FCD8E64">
            <wp:extent cx="4433887" cy="2528991"/>
            <wp:effectExtent l="0" t="0" r="5080" b="5080"/>
            <wp:docPr id="72330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0113" name=""/>
                    <pic:cNvPicPr/>
                  </pic:nvPicPr>
                  <pic:blipFill>
                    <a:blip r:embed="rId7"/>
                    <a:stretch>
                      <a:fillRect/>
                    </a:stretch>
                  </pic:blipFill>
                  <pic:spPr>
                    <a:xfrm>
                      <a:off x="0" y="0"/>
                      <a:ext cx="4438895" cy="2531847"/>
                    </a:xfrm>
                    <a:prstGeom prst="rect">
                      <a:avLst/>
                    </a:prstGeom>
                  </pic:spPr>
                </pic:pic>
              </a:graphicData>
            </a:graphic>
          </wp:inline>
        </w:drawing>
      </w:r>
    </w:p>
    <w:p w14:paraId="4955B3F3" w14:textId="0FE63247" w:rsidR="00E87EB9" w:rsidRDefault="00E87EB9" w:rsidP="00E87EB9">
      <w:pPr>
        <w:pStyle w:val="ListParagraph"/>
        <w:numPr>
          <w:ilvl w:val="0"/>
          <w:numId w:val="2"/>
        </w:numPr>
      </w:pPr>
      <w:r>
        <w:t>Abbott (ABT): igual en negativos, con un precio -4.86% más bajo que el de compra.</w:t>
      </w:r>
    </w:p>
    <w:p w14:paraId="566589B3" w14:textId="53F42487" w:rsidR="007373BF" w:rsidRDefault="007373BF" w:rsidP="007373BF">
      <w:pPr>
        <w:ind w:left="720"/>
      </w:pPr>
      <w:r w:rsidRPr="007373BF">
        <w:rPr>
          <w:noProof/>
        </w:rPr>
        <w:lastRenderedPageBreak/>
        <w:drawing>
          <wp:inline distT="0" distB="0" distL="0" distR="0" wp14:anchorId="582A200A" wp14:editId="2716C8FF">
            <wp:extent cx="4424362" cy="2537075"/>
            <wp:effectExtent l="0" t="0" r="0" b="0"/>
            <wp:docPr id="193302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22306" name=""/>
                    <pic:cNvPicPr/>
                  </pic:nvPicPr>
                  <pic:blipFill>
                    <a:blip r:embed="rId8"/>
                    <a:stretch>
                      <a:fillRect/>
                    </a:stretch>
                  </pic:blipFill>
                  <pic:spPr>
                    <a:xfrm>
                      <a:off x="0" y="0"/>
                      <a:ext cx="4432810" cy="2541919"/>
                    </a:xfrm>
                    <a:prstGeom prst="rect">
                      <a:avLst/>
                    </a:prstGeom>
                  </pic:spPr>
                </pic:pic>
              </a:graphicData>
            </a:graphic>
          </wp:inline>
        </w:drawing>
      </w:r>
    </w:p>
    <w:p w14:paraId="13B4E735" w14:textId="419B0F31" w:rsidR="007373BF" w:rsidRDefault="007373BF" w:rsidP="007373BF">
      <w:pPr>
        <w:ind w:left="720"/>
      </w:pPr>
      <w:r>
        <w:t xml:space="preserve">Aquí si se ve que la acción tuvo un declive serio en enero, y no se ha podido recuperar desde ese entonces. </w:t>
      </w:r>
    </w:p>
    <w:p w14:paraId="08B02A8C" w14:textId="480EE02E" w:rsidR="007373BF" w:rsidRDefault="00662B92" w:rsidP="007373BF">
      <w:pPr>
        <w:pStyle w:val="ListParagraph"/>
        <w:numPr>
          <w:ilvl w:val="0"/>
          <w:numId w:val="2"/>
        </w:numPr>
      </w:pPr>
      <w:r>
        <w:t>Moderna (</w:t>
      </w:r>
      <w:r w:rsidR="007373BF">
        <w:t>MRNA</w:t>
      </w:r>
      <w:r>
        <w:t>)</w:t>
      </w:r>
      <w:r w:rsidR="007373BF">
        <w:t>: una de las dos acciones que ahorita se encuentra por arriba, con un +19.10% de aumento en el precio, y se ha visto con un aumento relativamente estable desde enero.</w:t>
      </w:r>
    </w:p>
    <w:p w14:paraId="0F246584" w14:textId="320A933C" w:rsidR="007373BF" w:rsidRDefault="007373BF" w:rsidP="007373BF">
      <w:pPr>
        <w:pStyle w:val="ListParagraph"/>
        <w:ind w:left="1080"/>
      </w:pPr>
      <w:r w:rsidRPr="007373BF">
        <w:rPr>
          <w:noProof/>
        </w:rPr>
        <w:drawing>
          <wp:inline distT="0" distB="0" distL="0" distR="0" wp14:anchorId="5ABF35F1" wp14:editId="1CB26ADF">
            <wp:extent cx="4033837" cy="3090069"/>
            <wp:effectExtent l="0" t="0" r="5080" b="0"/>
            <wp:docPr id="5832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63962" name=""/>
                    <pic:cNvPicPr/>
                  </pic:nvPicPr>
                  <pic:blipFill>
                    <a:blip r:embed="rId9"/>
                    <a:stretch>
                      <a:fillRect/>
                    </a:stretch>
                  </pic:blipFill>
                  <pic:spPr>
                    <a:xfrm>
                      <a:off x="0" y="0"/>
                      <a:ext cx="4049560" cy="3102114"/>
                    </a:xfrm>
                    <a:prstGeom prst="rect">
                      <a:avLst/>
                    </a:prstGeom>
                  </pic:spPr>
                </pic:pic>
              </a:graphicData>
            </a:graphic>
          </wp:inline>
        </w:drawing>
      </w:r>
    </w:p>
    <w:p w14:paraId="23E526B8" w14:textId="77777777" w:rsidR="007373BF" w:rsidRDefault="007373BF" w:rsidP="007373BF">
      <w:pPr>
        <w:pStyle w:val="ListParagraph"/>
        <w:ind w:left="1080"/>
      </w:pPr>
    </w:p>
    <w:p w14:paraId="2ABB0C95" w14:textId="565F0ED9" w:rsidR="007373BF" w:rsidRDefault="00662B92" w:rsidP="007373BF">
      <w:pPr>
        <w:pStyle w:val="ListParagraph"/>
        <w:numPr>
          <w:ilvl w:val="0"/>
          <w:numId w:val="2"/>
        </w:numPr>
      </w:pPr>
      <w:r>
        <w:t>Johnson &amp;  Johnson (</w:t>
      </w:r>
      <w:r w:rsidR="007373BF">
        <w:t>JNJ</w:t>
      </w:r>
      <w:r>
        <w:t>)</w:t>
      </w:r>
      <w:r w:rsidR="007373BF">
        <w:t>: el precio actual se encuentra a un +1.49% arriba de la compra, pero es de las acciones con el precio más caro</w:t>
      </w:r>
      <w:r>
        <w:t>, entonces el impacto en el portafolio es más fuerte que el de otras acciones.</w:t>
      </w:r>
    </w:p>
    <w:p w14:paraId="7BFB0E92" w14:textId="3A5D9CDA" w:rsidR="007373BF" w:rsidRDefault="00662B92" w:rsidP="007373BF">
      <w:pPr>
        <w:pStyle w:val="ListParagraph"/>
        <w:ind w:left="1080"/>
      </w:pPr>
      <w:r w:rsidRPr="00662B92">
        <w:rPr>
          <w:noProof/>
        </w:rPr>
        <w:lastRenderedPageBreak/>
        <w:drawing>
          <wp:inline distT="0" distB="0" distL="0" distR="0" wp14:anchorId="34571CA8" wp14:editId="251138D4">
            <wp:extent cx="4519612" cy="2591183"/>
            <wp:effectExtent l="0" t="0" r="0" b="0"/>
            <wp:docPr id="19487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4409" name=""/>
                    <pic:cNvPicPr/>
                  </pic:nvPicPr>
                  <pic:blipFill>
                    <a:blip r:embed="rId10"/>
                    <a:stretch>
                      <a:fillRect/>
                    </a:stretch>
                  </pic:blipFill>
                  <pic:spPr>
                    <a:xfrm>
                      <a:off x="0" y="0"/>
                      <a:ext cx="4525236" cy="2594407"/>
                    </a:xfrm>
                    <a:prstGeom prst="rect">
                      <a:avLst/>
                    </a:prstGeom>
                  </pic:spPr>
                </pic:pic>
              </a:graphicData>
            </a:graphic>
          </wp:inline>
        </w:drawing>
      </w:r>
    </w:p>
    <w:p w14:paraId="1087BCA7" w14:textId="146B5C30" w:rsidR="00662B92" w:rsidRDefault="00662B92" w:rsidP="00662B92">
      <w:pPr>
        <w:pStyle w:val="ListParagraph"/>
        <w:numPr>
          <w:ilvl w:val="0"/>
          <w:numId w:val="2"/>
        </w:numPr>
      </w:pPr>
      <w:r>
        <w:t>Merck (MRK): esta es la acción cuyo precio ha sido el más bajo desde la compra, con un -5.15% menos.</w:t>
      </w:r>
    </w:p>
    <w:p w14:paraId="3E8E4982" w14:textId="09F1EFD0" w:rsidR="00662B92" w:rsidRDefault="00662B92" w:rsidP="00662B92">
      <w:pPr>
        <w:pStyle w:val="ListParagraph"/>
        <w:ind w:left="1080"/>
      </w:pPr>
      <w:r w:rsidRPr="00662B92">
        <w:rPr>
          <w:noProof/>
        </w:rPr>
        <w:drawing>
          <wp:inline distT="0" distB="0" distL="0" distR="0" wp14:anchorId="2189A4B4" wp14:editId="6F1F402E">
            <wp:extent cx="4471987" cy="2586142"/>
            <wp:effectExtent l="0" t="0" r="5080" b="5080"/>
            <wp:docPr id="17228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7577" name=""/>
                    <pic:cNvPicPr/>
                  </pic:nvPicPr>
                  <pic:blipFill>
                    <a:blip r:embed="rId11"/>
                    <a:stretch>
                      <a:fillRect/>
                    </a:stretch>
                  </pic:blipFill>
                  <pic:spPr>
                    <a:xfrm>
                      <a:off x="0" y="0"/>
                      <a:ext cx="4484112" cy="2593154"/>
                    </a:xfrm>
                    <a:prstGeom prst="rect">
                      <a:avLst/>
                    </a:prstGeom>
                  </pic:spPr>
                </pic:pic>
              </a:graphicData>
            </a:graphic>
          </wp:inline>
        </w:drawing>
      </w:r>
    </w:p>
    <w:p w14:paraId="7797D057" w14:textId="3A5DFA8A" w:rsidR="00662B92" w:rsidRDefault="00662B92" w:rsidP="00662B92">
      <w:pPr>
        <w:pStyle w:val="ListParagraph"/>
        <w:numPr>
          <w:ilvl w:val="0"/>
          <w:numId w:val="2"/>
        </w:numPr>
      </w:pPr>
      <w:r>
        <w:t>VHT: este es el benchmark que se usó a lo largo de los últimos modelos de la clase para hacer las regrsiones lineales. Es un ETF de Vanguard que mide empresas del segmento farmacéutico en los EEUU. En su caso bajó un -4.32%, y ha estado bajando en las últimas semanas de manera significativa.</w:t>
      </w:r>
    </w:p>
    <w:p w14:paraId="436C86DD" w14:textId="07278FB2" w:rsidR="00662B92" w:rsidRDefault="00662B92" w:rsidP="00662B92">
      <w:pPr>
        <w:pStyle w:val="ListParagraph"/>
        <w:ind w:left="1080"/>
      </w:pPr>
      <w:r w:rsidRPr="00662B92">
        <w:rPr>
          <w:noProof/>
        </w:rPr>
        <w:lastRenderedPageBreak/>
        <w:drawing>
          <wp:inline distT="0" distB="0" distL="0" distR="0" wp14:anchorId="13C04475" wp14:editId="21EF4554">
            <wp:extent cx="4552950" cy="2613902"/>
            <wp:effectExtent l="0" t="0" r="0" b="0"/>
            <wp:docPr id="21245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90886" name=""/>
                    <pic:cNvPicPr/>
                  </pic:nvPicPr>
                  <pic:blipFill>
                    <a:blip r:embed="rId12"/>
                    <a:stretch>
                      <a:fillRect/>
                    </a:stretch>
                  </pic:blipFill>
                  <pic:spPr>
                    <a:xfrm>
                      <a:off x="0" y="0"/>
                      <a:ext cx="4558740" cy="2617226"/>
                    </a:xfrm>
                    <a:prstGeom prst="rect">
                      <a:avLst/>
                    </a:prstGeom>
                  </pic:spPr>
                </pic:pic>
              </a:graphicData>
            </a:graphic>
          </wp:inline>
        </w:drawing>
      </w:r>
    </w:p>
    <w:p w14:paraId="7A73CF07" w14:textId="15F31BA4" w:rsidR="00662B92" w:rsidRDefault="00662B92" w:rsidP="00662B92">
      <w:pPr>
        <w:pStyle w:val="ListParagraph"/>
        <w:numPr>
          <w:ilvl w:val="0"/>
          <w:numId w:val="2"/>
        </w:numPr>
      </w:pPr>
      <w:r>
        <w:t>Abbvie (ABBV): por último, en este caso, el precio de la acción no ha cambiado de manera significativa desde</w:t>
      </w:r>
      <w:r w:rsidR="00191157">
        <w:t xml:space="preserve"> la compra, con una disminución de -0.96%.</w:t>
      </w:r>
    </w:p>
    <w:p w14:paraId="5C54BB5D" w14:textId="1B244926" w:rsidR="00191157" w:rsidRDefault="00191157" w:rsidP="00191157">
      <w:pPr>
        <w:pStyle w:val="ListParagraph"/>
        <w:ind w:left="1080"/>
      </w:pPr>
      <w:r w:rsidRPr="00191157">
        <w:rPr>
          <w:noProof/>
        </w:rPr>
        <w:drawing>
          <wp:inline distT="0" distB="0" distL="0" distR="0" wp14:anchorId="5A16E5C9" wp14:editId="176B1446">
            <wp:extent cx="4572000" cy="2610872"/>
            <wp:effectExtent l="0" t="0" r="0" b="0"/>
            <wp:docPr id="977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0760" name=""/>
                    <pic:cNvPicPr/>
                  </pic:nvPicPr>
                  <pic:blipFill>
                    <a:blip r:embed="rId13"/>
                    <a:stretch>
                      <a:fillRect/>
                    </a:stretch>
                  </pic:blipFill>
                  <pic:spPr>
                    <a:xfrm>
                      <a:off x="0" y="0"/>
                      <a:ext cx="4578133" cy="2614375"/>
                    </a:xfrm>
                    <a:prstGeom prst="rect">
                      <a:avLst/>
                    </a:prstGeom>
                  </pic:spPr>
                </pic:pic>
              </a:graphicData>
            </a:graphic>
          </wp:inline>
        </w:drawing>
      </w:r>
    </w:p>
    <w:p w14:paraId="3132E79F" w14:textId="77777777" w:rsidR="003B185F" w:rsidRDefault="003B185F" w:rsidP="00191157">
      <w:pPr>
        <w:pStyle w:val="ListParagraph"/>
        <w:ind w:left="1080"/>
      </w:pPr>
    </w:p>
    <w:p w14:paraId="75963569" w14:textId="3D3B7546" w:rsidR="003B185F" w:rsidRDefault="003B185F" w:rsidP="003B185F">
      <w:pPr>
        <w:pStyle w:val="ListParagraph"/>
        <w:ind w:left="708"/>
      </w:pPr>
      <w:r>
        <w:t xml:space="preserve">Analizando cada una de las acciones y su comportamiento a lo largo de estas semanas, ha a haber días donde todas las acciones se encuentren por arriba, días donde todas se encuentran por abajo, o una mezcla de las dos. Estratégicamente en estos casos se favorece </w:t>
      </w:r>
      <w:r w:rsidR="00F651D2">
        <w:t>investigar un ETF o un índice para que cambios drásticos en los precios no afecten al portafolio de una manera significativa, pero es importante entender cómo se pueden mover las acciones independientemente y los factores externos que llegan a influenciarlas.</w:t>
      </w:r>
    </w:p>
    <w:p w14:paraId="403B4628" w14:textId="77777777" w:rsidR="00D9559C" w:rsidRDefault="00D9559C" w:rsidP="003B185F">
      <w:pPr>
        <w:pStyle w:val="ListParagraph"/>
        <w:ind w:left="708"/>
      </w:pPr>
    </w:p>
    <w:p w14:paraId="2A63635B" w14:textId="685314BF" w:rsidR="00D9559C" w:rsidRDefault="00D9559C" w:rsidP="003B185F">
      <w:pPr>
        <w:pStyle w:val="ListParagraph"/>
        <w:ind w:left="708"/>
      </w:pPr>
      <w:r w:rsidRPr="00D9559C">
        <w:rPr>
          <w:noProof/>
        </w:rPr>
        <w:lastRenderedPageBreak/>
        <w:drawing>
          <wp:inline distT="0" distB="0" distL="0" distR="0" wp14:anchorId="564FC4B8" wp14:editId="7382DE57">
            <wp:extent cx="5612130" cy="3024505"/>
            <wp:effectExtent l="0" t="0" r="7620" b="4445"/>
            <wp:docPr id="185643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6784" name=""/>
                    <pic:cNvPicPr/>
                  </pic:nvPicPr>
                  <pic:blipFill>
                    <a:blip r:embed="rId14"/>
                    <a:stretch>
                      <a:fillRect/>
                    </a:stretch>
                  </pic:blipFill>
                  <pic:spPr>
                    <a:xfrm>
                      <a:off x="0" y="0"/>
                      <a:ext cx="5612130" cy="3024505"/>
                    </a:xfrm>
                    <a:prstGeom prst="rect">
                      <a:avLst/>
                    </a:prstGeom>
                  </pic:spPr>
                </pic:pic>
              </a:graphicData>
            </a:graphic>
          </wp:inline>
        </w:drawing>
      </w:r>
    </w:p>
    <w:p w14:paraId="7EBDA5EE" w14:textId="77777777" w:rsidR="00AF040A" w:rsidRDefault="00AF040A" w:rsidP="003B185F">
      <w:pPr>
        <w:pStyle w:val="ListParagraph"/>
        <w:ind w:left="708"/>
      </w:pPr>
    </w:p>
    <w:p w14:paraId="54AB073B" w14:textId="77777777" w:rsidR="00AF040A" w:rsidRDefault="00AF040A" w:rsidP="003B185F">
      <w:pPr>
        <w:pStyle w:val="ListParagraph"/>
        <w:ind w:left="708"/>
      </w:pPr>
    </w:p>
    <w:p w14:paraId="254711D9" w14:textId="49FADD6E" w:rsidR="00AF040A" w:rsidRDefault="00AF040A" w:rsidP="003B185F">
      <w:pPr>
        <w:pStyle w:val="ListParagraph"/>
        <w:ind w:left="708"/>
      </w:pPr>
      <w:r>
        <w:t>Acciones 3/19/26</w:t>
      </w:r>
    </w:p>
    <w:p w14:paraId="7C475F03" w14:textId="0F0A3C6A" w:rsidR="00AF040A" w:rsidRDefault="00AF040A" w:rsidP="003B185F">
      <w:pPr>
        <w:pStyle w:val="ListParagraph"/>
        <w:ind w:left="708"/>
      </w:pPr>
      <w:r w:rsidRPr="00AF040A">
        <w:drawing>
          <wp:inline distT="0" distB="0" distL="0" distR="0" wp14:anchorId="16BC6210" wp14:editId="1F65FE36">
            <wp:extent cx="5612130" cy="3061335"/>
            <wp:effectExtent l="0" t="0" r="7620" b="5715"/>
            <wp:docPr id="158018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82934" name=""/>
                    <pic:cNvPicPr/>
                  </pic:nvPicPr>
                  <pic:blipFill>
                    <a:blip r:embed="rId15"/>
                    <a:stretch>
                      <a:fillRect/>
                    </a:stretch>
                  </pic:blipFill>
                  <pic:spPr>
                    <a:xfrm>
                      <a:off x="0" y="0"/>
                      <a:ext cx="5612130" cy="3061335"/>
                    </a:xfrm>
                    <a:prstGeom prst="rect">
                      <a:avLst/>
                    </a:prstGeom>
                  </pic:spPr>
                </pic:pic>
              </a:graphicData>
            </a:graphic>
          </wp:inline>
        </w:drawing>
      </w:r>
    </w:p>
    <w:p w14:paraId="11292FEE" w14:textId="6E5A5F37" w:rsidR="00014205" w:rsidRDefault="00014205" w:rsidP="003B185F">
      <w:pPr>
        <w:pStyle w:val="ListParagraph"/>
        <w:ind w:left="708"/>
      </w:pPr>
      <w:r w:rsidRPr="00014205">
        <w:lastRenderedPageBreak/>
        <w:drawing>
          <wp:inline distT="0" distB="0" distL="0" distR="0" wp14:anchorId="1C03B9C4" wp14:editId="4C1A88DB">
            <wp:extent cx="5612130" cy="4747895"/>
            <wp:effectExtent l="0" t="0" r="7620" b="0"/>
            <wp:docPr id="30318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1048" name=""/>
                    <pic:cNvPicPr/>
                  </pic:nvPicPr>
                  <pic:blipFill>
                    <a:blip r:embed="rId16"/>
                    <a:stretch>
                      <a:fillRect/>
                    </a:stretch>
                  </pic:blipFill>
                  <pic:spPr>
                    <a:xfrm>
                      <a:off x="0" y="0"/>
                      <a:ext cx="5612130" cy="4747895"/>
                    </a:xfrm>
                    <a:prstGeom prst="rect">
                      <a:avLst/>
                    </a:prstGeom>
                  </pic:spPr>
                </pic:pic>
              </a:graphicData>
            </a:graphic>
          </wp:inline>
        </w:drawing>
      </w:r>
    </w:p>
    <w:p w14:paraId="7EB0A7FF" w14:textId="77777777" w:rsidR="00AF040A" w:rsidRDefault="00AF040A" w:rsidP="003B185F">
      <w:pPr>
        <w:pStyle w:val="ListParagraph"/>
        <w:ind w:left="708"/>
      </w:pPr>
    </w:p>
    <w:p w14:paraId="14F79933" w14:textId="1988C790" w:rsidR="00AF040A" w:rsidRPr="00F462E8" w:rsidRDefault="00AF040A" w:rsidP="003B185F">
      <w:pPr>
        <w:pStyle w:val="ListParagraph"/>
        <w:ind w:left="708"/>
      </w:pPr>
      <w:r>
        <w:t>Por lo general, las acciones, como muchas de Estados Unidos, se encontraron en un momento de inestabilidad dado el ambiente político del país. Por lo general subieron y bajaron en estos dos meses, pero si bajaron de precio más que nada. El modelo no necesariamente funcionó, pero también es importante hacer el análisis con más tiempo de muestra para entender mejor las tendencias.</w:t>
      </w:r>
    </w:p>
    <w:sectPr w:rsidR="00AF040A" w:rsidRPr="00F462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1ADC"/>
    <w:multiLevelType w:val="hybridMultilevel"/>
    <w:tmpl w:val="F1E2F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9F7606"/>
    <w:multiLevelType w:val="hybridMultilevel"/>
    <w:tmpl w:val="448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338014">
    <w:abstractNumId w:val="1"/>
  </w:num>
  <w:num w:numId="2" w16cid:durableId="28293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9C"/>
    <w:rsid w:val="00014205"/>
    <w:rsid w:val="001411A6"/>
    <w:rsid w:val="00191157"/>
    <w:rsid w:val="0038319C"/>
    <w:rsid w:val="003B185F"/>
    <w:rsid w:val="005E306A"/>
    <w:rsid w:val="00662B92"/>
    <w:rsid w:val="00681059"/>
    <w:rsid w:val="007373BF"/>
    <w:rsid w:val="00AF040A"/>
    <w:rsid w:val="00D25926"/>
    <w:rsid w:val="00D9559C"/>
    <w:rsid w:val="00DF4BD8"/>
    <w:rsid w:val="00E87EB9"/>
    <w:rsid w:val="00F462E8"/>
    <w:rsid w:val="00F651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8490"/>
  <w15:chartTrackingRefBased/>
  <w15:docId w15:val="{2E11D59E-34E1-4E5D-AFA1-52B8CB48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9C"/>
    <w:rPr>
      <w:rFonts w:eastAsiaTheme="majorEastAsia" w:cstheme="majorBidi"/>
      <w:color w:val="272727" w:themeColor="text1" w:themeTint="D8"/>
    </w:rPr>
  </w:style>
  <w:style w:type="paragraph" w:styleId="Title">
    <w:name w:val="Title"/>
    <w:basedOn w:val="Normal"/>
    <w:next w:val="Normal"/>
    <w:link w:val="TitleChar"/>
    <w:uiPriority w:val="10"/>
    <w:qFormat/>
    <w:rsid w:val="00383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9C"/>
    <w:pPr>
      <w:spacing w:before="160"/>
      <w:jc w:val="center"/>
    </w:pPr>
    <w:rPr>
      <w:i/>
      <w:iCs/>
      <w:color w:val="404040" w:themeColor="text1" w:themeTint="BF"/>
    </w:rPr>
  </w:style>
  <w:style w:type="character" w:customStyle="1" w:styleId="QuoteChar">
    <w:name w:val="Quote Char"/>
    <w:basedOn w:val="DefaultParagraphFont"/>
    <w:link w:val="Quote"/>
    <w:uiPriority w:val="29"/>
    <w:rsid w:val="0038319C"/>
    <w:rPr>
      <w:i/>
      <w:iCs/>
      <w:color w:val="404040" w:themeColor="text1" w:themeTint="BF"/>
    </w:rPr>
  </w:style>
  <w:style w:type="paragraph" w:styleId="ListParagraph">
    <w:name w:val="List Paragraph"/>
    <w:basedOn w:val="Normal"/>
    <w:uiPriority w:val="34"/>
    <w:qFormat/>
    <w:rsid w:val="0038319C"/>
    <w:pPr>
      <w:ind w:left="720"/>
      <w:contextualSpacing/>
    </w:pPr>
  </w:style>
  <w:style w:type="character" w:styleId="IntenseEmphasis">
    <w:name w:val="Intense Emphasis"/>
    <w:basedOn w:val="DefaultParagraphFont"/>
    <w:uiPriority w:val="21"/>
    <w:qFormat/>
    <w:rsid w:val="0038319C"/>
    <w:rPr>
      <w:i/>
      <w:iCs/>
      <w:color w:val="0F4761" w:themeColor="accent1" w:themeShade="BF"/>
    </w:rPr>
  </w:style>
  <w:style w:type="paragraph" w:styleId="IntenseQuote">
    <w:name w:val="Intense Quote"/>
    <w:basedOn w:val="Normal"/>
    <w:next w:val="Normal"/>
    <w:link w:val="IntenseQuoteChar"/>
    <w:uiPriority w:val="30"/>
    <w:qFormat/>
    <w:rsid w:val="00383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19C"/>
    <w:rPr>
      <w:i/>
      <w:iCs/>
      <w:color w:val="0F4761" w:themeColor="accent1" w:themeShade="BF"/>
    </w:rPr>
  </w:style>
  <w:style w:type="character" w:styleId="IntenseReference">
    <w:name w:val="Intense Reference"/>
    <w:basedOn w:val="DefaultParagraphFont"/>
    <w:uiPriority w:val="32"/>
    <w:qFormat/>
    <w:rsid w:val="00383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6958</TotalTime>
  <Pages>7</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Cecilia Cantú</dc:creator>
  <cp:keywords/>
  <dc:description/>
  <cp:lastModifiedBy>María Cecilia Cantú</cp:lastModifiedBy>
  <cp:revision>4</cp:revision>
  <dcterms:created xsi:type="dcterms:W3CDTF">2026-03-08T02:43:00Z</dcterms:created>
  <dcterms:modified xsi:type="dcterms:W3CDTF">2026-03-19T22:40:00Z</dcterms:modified>
</cp:coreProperties>
</file>