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Document Title</w:t>
      </w:r>
    </w:p>
    <w:p>
      <w:pPr>
        <w:pStyle w:val="Heading1"/>
        <w:rPr/>
      </w:pPr>
      <w:r>
        <w:rPr/>
        <w:t>Header 1</w:t>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409"/>
        <w:gridCol w:w="2410"/>
        <w:gridCol w:w="4819"/>
      </w:tblGrid>
      <w:tr>
        <w:trPr/>
        <w:tc>
          <w:tcPr>
            <w:tcW w:w="9638"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jc w:val="left"/>
              <w:rPr/>
            </w:pPr>
            <w:r>
              <w:rPr/>
              <w:t>Table xx: template</w:t>
            </w:r>
          </w:p>
        </w:tc>
      </w:tr>
      <w:tr>
        <w:trPr/>
        <w:tc>
          <w:tcPr>
            <w:tcW w:w="240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Label</w:t>
            </w:r>
          </w:p>
        </w:tc>
        <w:tc>
          <w:tcPr>
            <w:tcW w:w="241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Title</w:t>
            </w:r>
          </w:p>
        </w:tc>
        <w:tc>
          <w:tcPr>
            <w:tcW w:w="481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Description</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label [xs:string]</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CMOR Variable Name</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When there are multiple options for a variable within one CMOR table, each option must be given a unique CMOR name in this attribute. If there is only one option, the CMOR name should equal the value of the label in the MIP variable record referred to by the vid attribute.</w:t>
            </w:r>
          </w:p>
        </w:tc>
      </w:tr>
      <w:tr>
        <w:tc>
          <w:tcPr>
            <w:tcW w:type="dxa" w:w="2409"/>
          </w:tcPr>
          <w:p>
            <w:r>
              <w:t>title [xs:string]</w:t>
            </w:r>
          </w:p>
        </w:tc>
        <w:tc>
          <w:tcPr>
            <w:tcW w:type="dxa" w:w="2410"/>
          </w:tcPr>
          <w:p>
            <w:r>
              <w:t>Long name</w:t>
            </w:r>
          </w:p>
        </w:tc>
        <w:tc>
          <w:tcPr>
            <w:tcW w:type="dxa" w:w="4819"/>
          </w:tcPr>
          <w:p>
            <w:r>
              <w:t>The long name is used as the long_name variable attribute in the NetCDF files.</w:t>
            </w:r>
          </w:p>
        </w:tc>
      </w:tr>
      <w:tr>
        <w:tc>
          <w:tcPr>
            <w:tcW w:type="dxa" w:w="2409"/>
          </w:tcPr>
          <w:p>
            <w:r>
              <w:t>description [xs:string]</w:t>
            </w:r>
          </w:p>
        </w:tc>
        <w:tc>
          <w:tcPr>
            <w:tcW w:type="dxa" w:w="2410"/>
          </w:tcPr>
          <w:p>
            <w:r>
              <w:t>Description</w:t>
            </w:r>
          </w:p>
        </w:tc>
        <w:tc>
          <w:tcPr>
            <w:tcW w:type="dxa" w:w="4819"/>
          </w:tcPr>
          <w:p>
            <w:r>
              <w:t>An extended description of the object/concept. Specialization of SKOS definition. [DEF]</w:t>
            </w:r>
          </w:p>
        </w:tc>
      </w:tr>
      <w:tr>
        <w:tc>
          <w:tcPr>
            <w:tcW w:type="dxa" w:w="2409"/>
          </w:tcPr>
          <w:p>
            <w:r>
              <w:t>uid [aa:st__uid] {recordId}</w:t>
            </w:r>
          </w:p>
        </w:tc>
        <w:tc>
          <w:tcPr>
            <w:tcW w:type="dxa" w:w="2410"/>
          </w:tcPr>
          <w:p>
            <w:r>
              <w:t>Record Identifier</w:t>
            </w:r>
          </w:p>
        </w:tc>
        <w:tc>
          <w:tcPr>
            <w:tcW w:type="dxa" w:w="4819"/>
          </w:tcPr>
          <w:p>
            <w:r>
              <w:t>Identifier, unique within a given version of the data request. [DEF]</w:t>
            </w:r>
          </w:p>
        </w:tc>
      </w:tr>
      <w:tr>
        <w:tc>
          <w:tcPr>
            <w:tcW w:type="dxa" w:w="2409"/>
          </w:tcPr>
          <w:p>
            <w:r>
              <w:t>defaultPriority [xs:integer]</w:t>
            </w:r>
          </w:p>
        </w:tc>
        <w:tc>
          <w:tcPr>
            <w:tcW w:type="dxa" w:w="2410"/>
          </w:tcPr>
          <w:p>
            <w:r>
              <w:t>Indicative priority for this parameter, which is over-ruled by the requestVar priority setting, but provides a reference for organisation of the CMORvariables</w:t>
            </w:r>
          </w:p>
        </w:tc>
        <w:tc>
          <w:tcPr>
            <w:tcW w:type="dxa" w:w="4819"/>
          </w:tcPr>
          <w:p>
            <w:r>
              <w:t>For the priority of requested data, the priority attribute of the requestVar section should be used.</w:t>
            </w:r>
          </w:p>
        </w:tc>
      </w:tr>
      <w:tr>
        <w:tc>
          <w:tcPr>
            <w:tcW w:type="dxa" w:w="2409"/>
          </w:tcPr>
          <w:p>
            <w:r>
              <w:t>deflate [xs:string]</w:t>
            </w:r>
          </w:p>
        </w:tc>
        <w:tc>
          <w:tcPr>
            <w:tcW w:type="dxa" w:w="2410"/>
          </w:tcPr>
          <w:p>
            <w:r>
              <w:t>Deflate: NetCDF compression parameter</w:t>
            </w:r>
          </w:p>
        </w:tc>
        <w:tc>
          <w:tcPr>
            <w:tcW w:type="dxa" w:w="4819"/>
          </w:tcPr>
          <w:p>
            <w:r>
              <w:t>Obsolete, not used in CMIP6.</w:t>
            </w:r>
          </w:p>
        </w:tc>
      </w:tr>
      <w:tr>
        <w:tc>
          <w:tcPr>
            <w:tcW w:type="dxa" w:w="2409"/>
          </w:tcPr>
          <w:p>
            <w:r>
              <w:t>deflate_level [xs:string]</w:t>
            </w:r>
          </w:p>
        </w:tc>
        <w:tc>
          <w:tcPr>
            <w:tcW w:type="dxa" w:w="2410"/>
          </w:tcPr>
          <w:p>
            <w:r>
              <w:t>Deflate Level: NetCDF compression parameter</w:t>
            </w:r>
          </w:p>
        </w:tc>
        <w:tc>
          <w:tcPr>
            <w:tcW w:type="dxa" w:w="4819"/>
          </w:tcPr>
          <w:p>
            <w:r>
              <w:t>Obsolete, not used in CMIP6.</w:t>
            </w:r>
          </w:p>
        </w:tc>
      </w:tr>
      <w:tr>
        <w:tc>
          <w:tcPr>
            <w:tcW w:type="dxa" w:w="2409"/>
          </w:tcPr>
          <w:p>
            <w:r>
              <w:t>frequency [xs:string] {drsVocab}</w:t>
            </w:r>
          </w:p>
        </w:tc>
        <w:tc>
          <w:tcPr>
            <w:tcW w:type="dxa" w:w="2410"/>
          </w:tcPr>
          <w:p>
            <w:r>
              <w:t>Frequency of Time Steps to be Archived</w:t>
            </w:r>
          </w:p>
        </w:tc>
        <w:tc>
          <w:tcPr>
            <w:tcW w:type="dxa" w:w="4819"/>
          </w:tcPr>
          <w:p>
            <w:r>
              <w:t>See https://earthsystemcog.org/projects/wip/time_of_day for details of time of day for sub-hourly frequencies.</w:t>
            </w:r>
          </w:p>
        </w:tc>
      </w:tr>
      <w:tr>
        <w:tc>
          <w:tcPr>
            <w:tcW w:type="dxa" w:w="2409"/>
          </w:tcPr>
          <w:p>
            <w:r>
              <w:t>mipTable [xs:string] {subsection}</w:t>
            </w:r>
          </w:p>
        </w:tc>
        <w:tc>
          <w:tcPr>
            <w:tcW w:type="dxa" w:w="2410"/>
          </w:tcPr>
          <w:p>
            <w:r>
              <w:t>The MIP table</w:t>
            </w:r>
          </w:p>
        </w:tc>
        <w:tc>
          <w:tcPr>
            <w:tcW w:type="dxa" w:w="4819"/>
          </w:tcPr>
          <w:p>
            <w:r>
              <w:t>Each table identifies a collection of variables with a common frequency.</w:t>
            </w:r>
          </w:p>
        </w:tc>
      </w:tr>
      <w:tr>
        <w:tc>
          <w:tcPr>
            <w:tcW w:type="dxa" w:w="2409"/>
          </w:tcPr>
          <w:p>
            <w:r>
              <w:t>mipTableSection [xs:string] {subsubsection} (OPT)</w:t>
            </w:r>
          </w:p>
        </w:tc>
        <w:tc>
          <w:tcPr>
            <w:tcW w:type="dxa" w:w="2410"/>
          </w:tcPr>
          <w:p>
            <w:r>
              <w:t>Section of a table</w:t>
            </w:r>
          </w:p>
        </w:tc>
        <w:tc>
          <w:tcPr>
            <w:tcW w:type="dxa" w:w="4819"/>
          </w:tcPr>
          <w:p>
            <w:r>
              <w:t>Some MIP tables are divided into subsections containing different categories of variables.</w:t>
            </w:r>
          </w:p>
        </w:tc>
      </w:tr>
      <w:tr>
        <w:tc>
          <w:tcPr>
            <w:tcW w:type="dxa" w:w="2409"/>
          </w:tcPr>
          <w:p>
            <w:r>
              <w:t>modeling_realm [xs:string] {drsVocab}</w:t>
            </w:r>
          </w:p>
        </w:tc>
        <w:tc>
          <w:tcPr>
            <w:tcW w:type="dxa" w:w="2410"/>
          </w:tcPr>
          <w:p>
            <w:r>
              <w:t>Modeling Realm</w:t>
            </w:r>
          </w:p>
        </w:tc>
        <w:tc>
          <w:tcPr>
            <w:tcW w:type="dxa" w:w="4819"/>
          </w:tcPr>
          <w:p>
            <w:r>
              <w:t>A string that  indicates the high level modeling component  which is particularly relevant.  Note  that  sometimes  a  variable  will  be  equally  (or  almost  equally  relevant)  to  two  or  more  realms,  in  which  case  a  primary  realm  is  assigned as the first listed and other relevant realms follow in a space separated list.</w:t>
            </w:r>
          </w:p>
        </w:tc>
      </w:tr>
      <w:tr>
        <w:tc>
          <w:tcPr>
            <w:tcW w:type="dxa" w:w="2409"/>
          </w:tcPr>
          <w:p>
            <w:r>
              <w:t>mtid [xs:string] {internalLink}</w:t>
            </w:r>
          </w:p>
        </w:tc>
        <w:tc>
          <w:tcPr>
            <w:tcW w:type="dxa" w:w="2410"/>
          </w:tcPr>
          <w:p>
            <w:r>
              <w:t>Link to MIP table record</w:t>
            </w:r>
          </w:p>
        </w:tc>
        <w:tc>
          <w:tcPr>
            <w:tcW w:type="dxa" w:w="4819"/>
          </w:tcPr>
          <w:p>
            <w:r>
              <w:t>A link to the record for the MIP table identified by the mipTable attribute.</w:t>
            </w:r>
          </w:p>
        </w:tc>
      </w:tr>
      <w:tr>
        <w:tc>
          <w:tcPr>
            <w:tcW w:type="dxa" w:w="2409"/>
          </w:tcPr>
          <w:p>
            <w:r>
              <w:t>positive [xs:string] {CMORdirective}</w:t>
            </w:r>
          </w:p>
        </w:tc>
        <w:tc>
          <w:tcPr>
            <w:tcW w:type="dxa" w:w="2410"/>
          </w:tcPr>
          <w:p>
            <w:r>
              <w:t>CMOR Directive Positive</w:t>
            </w:r>
          </w:p>
        </w:tc>
        <w:tc>
          <w:tcPr>
            <w:tcW w:type="dxa" w:w="4819"/>
          </w:tcPr>
          <w:p>
            <w:r>
              <w:t>For any variable where the DREQ has specified a value for 'positive', CMOR requires users to say whether the data they're giving CMOR assumes 'positive is up' or 'positive is down'. If the user's direction is opposite what is requested by DREQ, CMOR multiplies the data by -1 before storing it, so that it will conform with the specifications.</w:t>
            </w:r>
          </w:p>
        </w:tc>
      </w:tr>
      <w:tr>
        <w:tc>
          <w:tcPr>
            <w:tcW w:type="dxa" w:w="2409"/>
          </w:tcPr>
          <w:p>
            <w:r>
              <w:t>processing [xs:string] (OPT)</w:t>
            </w:r>
          </w:p>
        </w:tc>
        <w:tc>
          <w:tcPr>
            <w:tcW w:type="dxa" w:w="2410"/>
          </w:tcPr>
          <w:p>
            <w:r>
              <w:t>Processing Notes</w:t>
            </w:r>
          </w:p>
        </w:tc>
        <w:tc>
          <w:tcPr>
            <w:tcW w:type="dxa" w:w="4819"/>
          </w:tcPr>
          <w:p>
            <w:r>
              <w:t>Processing notes (questions and issues)</w:t>
            </w:r>
          </w:p>
        </w:tc>
      </w:tr>
      <w:tr>
        <w:tc>
          <w:tcPr>
            <w:tcW w:type="dxa" w:w="2409"/>
          </w:tcPr>
          <w:p>
            <w:r>
              <w:t>prov [xs:string]</w:t>
            </w:r>
          </w:p>
        </w:tc>
        <w:tc>
          <w:tcPr>
            <w:tcW w:type="dxa" w:w="2410"/>
          </w:tcPr>
          <w:p>
            <w:r>
              <w:t>Provenance</w:t>
            </w:r>
          </w:p>
        </w:tc>
        <w:tc>
          <w:tcPr>
            <w:tcW w:type="dxa" w:w="4819"/>
          </w:tcPr>
          <w:p>
            <w:r>
              <w:t>Provides some indication of the origins of the parameter definition (e.g. the MIP responsible for first defining the variable). Once defined, a variable may be requested by multiple MIPs.</w:t>
            </w:r>
          </w:p>
        </w:tc>
      </w:tr>
      <w:tr>
        <w:tc>
          <w:tcPr>
            <w:tcW w:type="dxa" w:w="2409"/>
          </w:tcPr>
          <w:p>
            <w:r>
              <w:t>provNote [xs:string]</w:t>
            </w:r>
          </w:p>
        </w:tc>
        <w:tc>
          <w:tcPr>
            <w:tcW w:type="dxa" w:w="2410"/>
          </w:tcPr>
          <w:p>
            <w:r>
              <w:t>Provenance Note</w:t>
            </w:r>
          </w:p>
        </w:tc>
        <w:tc>
          <w:tcPr>
            <w:tcW w:type="dxa" w:w="4819"/>
          </w:tcPr>
          <w:p>
            <w:r>
              <w:t>Additional information on provenance, intended to be machine interpretable.</w:t>
            </w:r>
          </w:p>
        </w:tc>
      </w:tr>
      <w:tr>
        <w:tc>
          <w:tcPr>
            <w:tcW w:type="dxa" w:w="2409"/>
          </w:tcPr>
          <w:p>
            <w:r>
              <w:t>rowIndex [xs:integer]</w:t>
            </w:r>
          </w:p>
        </w:tc>
        <w:tc>
          <w:tcPr>
            <w:tcW w:type="dxa" w:w="2410"/>
          </w:tcPr>
          <w:p>
            <w:r>
              <w:t>Row index of entry in source sheet</w:t>
            </w:r>
          </w:p>
        </w:tc>
        <w:tc>
          <w:tcPr>
            <w:tcW w:type="dxa" w:w="4819"/>
          </w:tcPr>
          <w:p>
            <w:r>
              <w:t xml:space="preserve">Information about source of information. </w:t>
            </w:r>
          </w:p>
        </w:tc>
      </w:tr>
      <w:tr>
        <w:tc>
          <w:tcPr>
            <w:tcW w:type="dxa" w:w="2409"/>
          </w:tcPr>
          <w:p>
            <w:r>
              <w:t>shuffle [xs:string]</w:t>
            </w:r>
          </w:p>
        </w:tc>
        <w:tc>
          <w:tcPr>
            <w:tcW w:type="dxa" w:w="2410"/>
          </w:tcPr>
          <w:p>
            <w:r>
              <w:t>Shuffle: NetCDF compression parameter</w:t>
            </w:r>
          </w:p>
        </w:tc>
        <w:tc>
          <w:tcPr>
            <w:tcW w:type="dxa" w:w="4819"/>
          </w:tcPr>
          <w:p>
            <w:r>
              <w:t>Obsolete, not used in CMIP6.</w:t>
            </w:r>
          </w:p>
        </w:tc>
      </w:tr>
      <w:tr>
        <w:tc>
          <w:tcPr>
            <w:tcW w:type="dxa" w:w="2409"/>
          </w:tcPr>
          <w:p>
            <w:r>
              <w:t>stid [xs:string] {internalLink}</w:t>
            </w:r>
          </w:p>
        </w:tc>
        <w:tc>
          <w:tcPr>
            <w:tcW w:type="dxa" w:w="2410"/>
          </w:tcPr>
          <w:p>
            <w:r>
              <w:t>Link to a record specifying the structure of the variable</w:t>
            </w:r>
          </w:p>
        </w:tc>
        <w:tc>
          <w:tcPr>
            <w:tcW w:type="dxa" w:w="4819"/>
          </w:tcPr>
          <w:p>
            <w:r>
              <w:t>Link to a record describing the structure of the variable (e.g. spatial and temporal dimensions).</w:t>
            </w:r>
          </w:p>
        </w:tc>
      </w:tr>
      <w:tr>
        <w:tc>
          <w:tcPr>
            <w:tcW w:type="dxa" w:w="2409"/>
          </w:tcPr>
          <w:p>
            <w:r>
              <w:t>subGroup [xs:string] (OPT)</w:t>
            </w:r>
          </w:p>
        </w:tc>
        <w:tc>
          <w:tcPr>
            <w:tcW w:type="dxa" w:w="2410"/>
          </w:tcPr>
          <w:p>
            <w:r>
              <w:t>Sub-group of variables in a table</w:t>
            </w:r>
          </w:p>
        </w:tc>
        <w:tc>
          <w:tcPr>
            <w:tcW w:type="dxa" w:w="4819"/>
          </w:tcPr>
          <w:p>
            <w:r>
              <w:t>Identify a sub-group, for ease of processing. A sub-group can be copied to a request variable group.</w:t>
            </w:r>
          </w:p>
        </w:tc>
      </w:tr>
      <w:tr>
        <w:tc>
          <w:tcPr>
            <w:tcW w:type="dxa" w:w="2409"/>
          </w:tcPr>
          <w:p>
            <w:r>
              <w:t>type [aa:st__fortranType]</w:t>
            </w:r>
          </w:p>
        </w:tc>
        <w:tc>
          <w:tcPr>
            <w:tcW w:type="dxa" w:w="2410"/>
          </w:tcPr>
          <w:p>
            <w:r>
              <w:t>Data value type, e.g. float or double</w:t>
            </w:r>
          </w:p>
        </w:tc>
        <w:tc>
          <w:tcPr>
            <w:tcW w:type="dxa" w:w="4819"/>
          </w:tcPr>
          <w:p>
            <w:r>
              <w:t xml:space="preserve">Data type is specified using Fortran code words: character, double, integer, real </w:t>
            </w:r>
          </w:p>
        </w:tc>
      </w:tr>
      <w:tr>
        <w:tc>
          <w:tcPr>
            <w:tcW w:type="dxa" w:w="2409"/>
          </w:tcPr>
          <w:p>
            <w:r>
              <w:t>vid [xs:string] {internalLink}</w:t>
            </w:r>
          </w:p>
        </w:tc>
        <w:tc>
          <w:tcPr>
            <w:tcW w:type="dxa" w:w="2410"/>
          </w:tcPr>
          <w:p>
            <w:r>
              <w:t>MIP Variable</w:t>
            </w:r>
          </w:p>
        </w:tc>
        <w:tc>
          <w:tcPr>
            <w:tcW w:type="dxa" w:w="4819"/>
          </w:tcPr>
          <w:p>
            <w:r>
              <w:t>The MIP Variable specifies the physical quantity.</w:t>
            </w:r>
          </w:p>
        </w:tc>
      </w:tr>
    </w:tbl>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409"/>
        <w:gridCol w:w="2410"/>
        <w:gridCol w:w="2409"/>
        <w:gridCol w:w="2409"/>
      </w:tblGrid>
      <w:tr>
        <w:trPr/>
        <w:tc>
          <w:tcPr>
            <w:tcW w:w="9637"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jc w:val="left"/>
              <w:rPr/>
            </w:pPr>
            <w:r>
              <w:rPr/>
              <w:t>Table xx: template</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Label</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Title</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Description</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Type</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blahblah</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qFormat/>
    <w:pPr/>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3" Type="http://schemas.openxmlformats.org/officeDocument/2006/relationships/settings" Target="settings.xml"/><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19</Words>
  <Characters>114</Characters>
  <CharactersWithSpaces>120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2019-04-26T15:28:59Z</dcterms:created>
  <dc:creator/>
  <dc:description/>
  <dc:language>en-GB</dc:language>
  <cp:lastModifiedBy/>
  <dcterms:modified xsi:type="dcterms:W3CDTF">2019-04-30T09:55:35Z</dcterms:modified>
  <cp:revision>4</cp:revision>
  <dc:subject/>
  <dc:title/>
</cp:coreProperties>
</file>