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Record 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Record 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esid [xs:string] {internalLink}</w:t>
            </w:r>
          </w:p>
        </w:tc>
        <w:tc>
          <w:tcPr>
            <w:tcW w:type="dxa" w:w="2410"/>
          </w:tcPr>
          <w:p>
            <w:r>
              <w:t>A link to an experiment, an experiment group or a MIP</w:t>
            </w:r>
          </w:p>
        </w:tc>
        <w:tc>
          <w:tcPr>
            <w:tcW w:type="dxa" w:w="4819"/>
          </w:tcPr>
          <w:p>
            <w:r>
              <w:t>This links to an individual experiment, to an experimentGroup, specifying a collection of experiments, or to a MIP. If it links to a MIP it means that the request applies to all experiments defined by that MIP.</w:t>
            </w:r>
          </w:p>
        </w:tc>
      </w:tr>
      <w:tr>
        <w:tc>
          <w:tcPr>
            <w:tcW w:type="dxa" w:w="2409"/>
          </w:tcPr>
          <w:p>
            <w:r>
              <w:t>esidComment [xs:string] (OPT)</w:t>
            </w:r>
          </w:p>
        </w:tc>
        <w:tc>
          <w:tcPr>
            <w:tcW w:type="dxa" w:w="2410"/>
          </w:tcPr>
          <w:p>
            <w:r>
              <w:t>Comment on experiment(s) linked to.</w:t>
            </w:r>
          </w:p>
        </w:tc>
        <w:tc>
          <w:tcPr>
            <w:tcW w:type="dxa" w:w="4819"/>
          </w:tcPr>
          <w:p>
            <w:r>
              <w:t>An explanatory commemt for the esid attribute.</w:t>
            </w:r>
          </w:p>
        </w:tc>
      </w:tr>
      <w:tr>
        <w:tc>
          <w:tcPr>
            <w:tcW w:type="dxa" w:w="2409"/>
          </w:tcPr>
          <w:p>
            <w:r>
              <w:t>expt [xs:string]</w:t>
            </w:r>
          </w:p>
        </w:tc>
        <w:tc>
          <w:tcPr>
            <w:tcW w:type="dxa" w:w="2410"/>
          </w:tcPr>
          <w:p>
            <w:r>
              <w:t>Name of experiment or group of experiments</w:t>
            </w:r>
          </w:p>
        </w:tc>
        <w:tc>
          <w:tcPr>
            <w:tcW w:type="dxa" w:w="4819"/>
          </w:tcPr>
          <w:p>
            <w:r>
              <w:t>This is redundant: the information is provided through the esid link.</w:t>
            </w:r>
          </w:p>
        </w:tc>
      </w:tr>
      <w:tr>
        <w:tc>
          <w:tcPr>
            <w:tcW w:type="dxa" w:w="2409"/>
          </w:tcPr>
          <w:p>
            <w:r>
              <w:t>mip [xs:string] {Redundant}</w:t>
            </w:r>
          </w:p>
        </w:tc>
        <w:tc>
          <w:tcPr>
            <w:tcW w:type="dxa" w:w="2410"/>
          </w:tcPr>
          <w:p>
            <w:r>
              <w:t xml:space="preserve">The MIP making the request. </w:t>
            </w:r>
          </w:p>
        </w:tc>
        <w:tc>
          <w:tcPr>
            <w:tcW w:type="dxa" w:w="4819"/>
          </w:tcPr>
          <w:p>
            <w:r>
              <w:t>Model Intecomparison Project associated with the requestItem. Redundant because this is specified through the requestLink.</w:t>
            </w:r>
          </w:p>
        </w:tc>
      </w:tr>
      <w:tr>
        <w:tc>
          <w:tcPr>
            <w:tcW w:type="dxa" w:w="2409"/>
          </w:tcPr>
          <w:p>
            <w:r>
              <w:t>nenmax [xs:integer]</w:t>
            </w:r>
          </w:p>
        </w:tc>
        <w:tc>
          <w:tcPr>
            <w:tcW w:type="dxa" w:w="2410"/>
          </w:tcPr>
          <w:p>
            <w:r>
              <w:t xml:space="preserve">Number of ensemble members requested. </w:t>
            </w:r>
          </w:p>
        </w:tc>
        <w:tc>
          <w:tcPr>
            <w:tcW w:type="dxa" w:w="4819"/>
          </w:tcPr>
          <w:p>
            <w:r>
              <w:t xml:space="preserve">If set to -1 then the request applies to to all the ensemble members specified in the ensz attribute of the experiment or experiments associated with the request. Note that ensz is a default ensemble size, and nenmax may be greater if one MIP wants more than the default number of ensembles. </w:t>
            </w:r>
          </w:p>
        </w:tc>
      </w:tr>
      <w:tr>
        <w:tc>
          <w:tcPr>
            <w:tcW w:type="dxa" w:w="2409"/>
          </w:tcPr>
          <w:p>
            <w:r>
              <w:t>nexmax [xs:integer] {Redundant} (OPT)</w:t>
            </w:r>
          </w:p>
        </w:tc>
        <w:tc>
          <w:tcPr>
            <w:tcW w:type="dxa" w:w="2410"/>
          </w:tcPr>
          <w:p>
            <w:r>
              <w:t>Maximum number of experiments requested.</w:t>
            </w:r>
          </w:p>
        </w:tc>
        <w:tc>
          <w:tcPr>
            <w:tcW w:type="dxa" w:w="4819"/>
          </w:tcPr>
          <w:p>
            <w:r>
              <w:t>Used to provide volume estimate before the links to experiment groups was fully functional.</w:t>
            </w:r>
          </w:p>
        </w:tc>
      </w:tr>
      <w:tr>
        <w:tc>
          <w:tcPr>
            <w:tcW w:type="dxa" w:w="2409"/>
          </w:tcPr>
          <w:p>
            <w:r>
              <w:t>ny [xs:integer]</w:t>
            </w:r>
          </w:p>
        </w:tc>
        <w:tc>
          <w:tcPr>
            <w:tcW w:type="dxa" w:w="2410"/>
          </w:tcPr>
          <w:p>
            <w:r>
              <w:t>Default number of years.</w:t>
            </w:r>
          </w:p>
        </w:tc>
        <w:tc>
          <w:tcPr>
            <w:tcW w:type="dxa" w:w="4819"/>
          </w:tcPr>
          <w:p>
            <w:r>
              <w:t>Default number of years, only used if experiment specifications are incomplete: will be redundant in final request.</w:t>
            </w:r>
          </w:p>
        </w:tc>
      </w:tr>
      <w:tr>
        <w:tc>
          <w:tcPr>
            <w:tcW w:type="dxa" w:w="2409"/>
          </w:tcPr>
          <w:p>
            <w:r>
              <w:t>nymax [xs:float]</w:t>
            </w:r>
          </w:p>
        </w:tc>
        <w:tc>
          <w:tcPr>
            <w:tcW w:type="dxa" w:w="2410"/>
          </w:tcPr>
          <w:p>
            <w:r>
              <w:t>Number of years requested.</w:t>
            </w:r>
          </w:p>
        </w:tc>
        <w:tc>
          <w:tcPr>
            <w:tcW w:type="dxa" w:w="4819"/>
          </w:tcPr>
          <w:p>
            <w:r>
              <w:t>Number of years specified by the requesting MIP (will be redundant when links to temporal slices are fully implemented).</w:t>
            </w:r>
          </w:p>
        </w:tc>
      </w:tr>
      <w:tr>
        <w:tc>
          <w:tcPr>
            <w:tcW w:type="dxa" w:w="2409"/>
          </w:tcPr>
          <w:p>
            <w:r>
              <w:t>preset [xs:integer]</w:t>
            </w:r>
          </w:p>
        </w:tc>
        <w:tc>
          <w:tcPr>
            <w:tcW w:type="dxa" w:w="2410"/>
          </w:tcPr>
          <w:p>
            <w:r>
              <w:t>Option to override priority set in each variable group</w:t>
            </w:r>
          </w:p>
        </w:tc>
        <w:tc>
          <w:tcPr>
            <w:tcW w:type="dxa" w:w="4819"/>
          </w:tcPr>
          <w:p>
            <w:r>
              <w:t>If, for example, preset is set to 2, all priority one variables in the variable group associated with this request are treated as priority 2 variables.</w:t>
            </w:r>
          </w:p>
        </w:tc>
      </w:tr>
      <w:tr>
        <w:tc>
          <w:tcPr>
            <w:tcW w:type="dxa" w:w="2409"/>
          </w:tcPr>
          <w:p>
            <w:r>
              <w:t>rlid [xs:string] {internalLink}</w:t>
            </w:r>
          </w:p>
        </w:tc>
        <w:tc>
          <w:tcPr>
            <w:tcW w:type="dxa" w:w="2410"/>
          </w:tcPr>
          <w:p>
            <w:r>
              <w:t>Identifier of Corresponding Request Link</w:t>
            </w:r>
          </w:p>
        </w:tc>
        <w:tc>
          <w:tcPr>
            <w:tcW w:type="dxa" w:w="4819"/>
          </w:tcPr>
          <w:p>
            <w:r>
              <w:t>Link to a requestLink record, which makes the connection to a variableGroup and a set of objectives.</w:t>
            </w:r>
          </w:p>
        </w:tc>
      </w:tr>
      <w:tr>
        <w:tc>
          <w:tcPr>
            <w:tcW w:type="dxa" w:w="2409"/>
          </w:tcPr>
          <w:p>
            <w:r>
              <w:t>tab [xs:string] {Redundant} (OPT)</w:t>
            </w:r>
          </w:p>
        </w:tc>
        <w:tc>
          <w:tcPr>
            <w:tcW w:type="dxa" w:w="2410"/>
          </w:tcPr>
          <w:p>
            <w:r>
              <w:t>Redundant?</w:t>
            </w:r>
          </w:p>
        </w:tc>
        <w:tc>
          <w:tcPr>
            <w:tcW w:type="dxa" w:w="4819"/>
          </w:tcPr>
          <w:p>
            <w:r>
              <w:t xml:space="preserve">Redundant attribute ... </w:t>
            </w:r>
          </w:p>
        </w:tc>
      </w:tr>
      <w:tr>
        <w:tc>
          <w:tcPr>
            <w:tcW w:type="dxa" w:w="2409"/>
          </w:tcPr>
          <w:p>
            <w:r>
              <w:t>treset [xs:integer] (OPT)</w:t>
            </w:r>
          </w:p>
        </w:tc>
        <w:tc>
          <w:tcPr>
            <w:tcW w:type="dxa" w:w="2410"/>
          </w:tcPr>
          <w:p>
            <w:r>
              <w:t>Option to override tier set for experiment(s)</w:t>
            </w:r>
          </w:p>
        </w:tc>
        <w:tc>
          <w:tcPr>
            <w:tcW w:type="dxa" w:w="4819"/>
          </w:tcPr>
          <w:p>
            <w:r>
              <w:t>If, for example, treset is set to 1, all tier 2 and 3 experiments associated with this request are treated as tier 1 variables.</w:t>
            </w:r>
          </w:p>
        </w:tc>
      </w:tr>
      <w:tr>
        <w:tc>
          <w:tcPr>
            <w:tcW w:type="dxa" w:w="2409"/>
          </w:tcPr>
          <w:p>
            <w:r>
              <w:t>tslice [xs:string] {internalLink} (OPT)</w:t>
            </w:r>
          </w:p>
        </w:tc>
        <w:tc>
          <w:tcPr>
            <w:tcW w:type="dxa" w:w="2410"/>
          </w:tcPr>
          <w:p>
            <w:r>
              <w:t>Selection of years from experiment</w:t>
            </w:r>
          </w:p>
        </w:tc>
        <w:tc>
          <w:tcPr>
            <w:tcW w:type="dxa" w:w="4819"/>
          </w:tcPr>
          <w:p>
            <w:r>
              <w:t>Optional link to a time slice specifier which will define subset of the years from an experiment.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