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2" Type="http://schemas.openxmlformats.org/officeDocument/2006/relationships/extended-properties" Target="docProps/app.xml"/><Relationship Id="rId3"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Document Title</w:t>
      </w:r>
    </w:p>
    <w:p>
      <w:pPr>
        <w:pStyle w:val="Heading1"/>
        <w:rPr/>
      </w:pPr>
      <w:r>
        <w:rPr/>
        <w:t>Header 1</w:t>
      </w:r>
    </w:p>
    <w:p>
      <w:pPr>
        <w:pStyle w:val="Normal"/>
        <w:rPr/>
      </w:pPr>
      <w:r>
        <w:rPr/>
      </w:r>
    </w:p>
    <w:tbl>
      <w:tblPr>
        <w:tblW w:w="9638"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2409"/>
        <w:gridCol w:w="2410"/>
        <w:gridCol w:w="4819"/>
      </w:tblGrid>
      <w:tr>
        <w:trPr/>
        <w:tc>
          <w:tcPr>
            <w:tcW w:w="9638"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Heading"/>
              <w:jc w:val="left"/>
              <w:rPr/>
            </w:pPr>
            <w:r>
              <w:rPr/>
              <w:t>Table xx: template</w:t>
            </w:r>
          </w:p>
        </w:tc>
      </w:tr>
      <w:tr>
        <w:trPr/>
        <w:tc>
          <w:tcPr>
            <w:tcW w:w="2409"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Label</w:t>
            </w:r>
          </w:p>
        </w:tc>
        <w:tc>
          <w:tcPr>
            <w:tcW w:w="2410"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Title</w:t>
            </w:r>
          </w:p>
        </w:tc>
        <w:tc>
          <w:tcPr>
            <w:tcW w:w="4819"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Description</w:t>
            </w:r>
          </w:p>
        </w:tc>
      </w:tr>
      <w:tr>
        <w:trPr/>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r>
              <w:t>label [xs:string]</w:t>
            </w:r>
          </w:p>
        </w:tc>
        <w:tc>
          <w:tcPr>
            <w:tcW w:w="2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r>
              <w:t>Label</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r>
              <w:t>A single word,  with restricted character set. Specialization of SKOS prefLabel. [DEF]</w:t>
            </w:r>
          </w:p>
        </w:tc>
      </w:tr>
      <w:tr>
        <w:tc>
          <w:tcPr>
            <w:tcW w:type="dxa" w:w="2409"/>
          </w:tcPr>
          <w:p>
            <w:r>
              <w:t>title [xs:string]</w:t>
            </w:r>
          </w:p>
        </w:tc>
        <w:tc>
          <w:tcPr>
            <w:tcW w:type="dxa" w:w="2410"/>
          </w:tcPr>
          <w:p>
            <w:r>
              <w:t>Title</w:t>
            </w:r>
          </w:p>
        </w:tc>
        <w:tc>
          <w:tcPr>
            <w:tcW w:type="dxa" w:w="4819"/>
          </w:tcPr>
          <w:p>
            <w:r>
              <w:t>A few words describing the object. Specialization of Dublin Core title. [DEF]</w:t>
            </w:r>
          </w:p>
        </w:tc>
      </w:tr>
      <w:tr>
        <w:tc>
          <w:tcPr>
            <w:tcW w:type="dxa" w:w="2409"/>
          </w:tcPr>
          <w:p>
            <w:r>
              <w:t>uid [aa:st__uid]</w:t>
            </w:r>
          </w:p>
        </w:tc>
        <w:tc>
          <w:tcPr>
            <w:tcW w:type="dxa" w:w="2410"/>
          </w:tcPr>
          <w:p>
            <w:r>
              <w:t>Identifier</w:t>
            </w:r>
          </w:p>
        </w:tc>
        <w:tc>
          <w:tcPr>
            <w:tcW w:type="dxa" w:w="4819"/>
          </w:tcPr>
          <w:p>
            <w:r>
              <w:t>Identifier, unique within a given version of the data request. [DEF]</w:t>
            </w:r>
          </w:p>
        </w:tc>
      </w:tr>
      <w:tr>
        <w:tc>
          <w:tcPr>
            <w:tcW w:type="dxa" w:w="2409"/>
          </w:tcPr>
          <w:p>
            <w:r>
              <w:t>frid [xs:string] {internalLink}</w:t>
            </w:r>
          </w:p>
        </w:tc>
        <w:tc>
          <w:tcPr>
            <w:tcW w:type="dxa" w:w="2410"/>
          </w:tcPr>
          <w:p>
            <w:r>
              <w:t>Source Identifier</w:t>
            </w:r>
          </w:p>
        </w:tc>
        <w:tc>
          <w:tcPr>
            <w:tcW w:type="dxa" w:w="4819"/>
          </w:tcPr>
          <w:p>
            <w:r>
              <w:t>Identifier of the 'place' that the flux is from.</w:t>
            </w:r>
          </w:p>
        </w:tc>
      </w:tr>
      <w:tr>
        <w:tc>
          <w:tcPr>
            <w:tcW w:type="dxa" w:w="2409"/>
          </w:tcPr>
          <w:p>
            <w:r>
              <w:t>isOneWay [xs:boolean]</w:t>
            </w:r>
          </w:p>
        </w:tc>
        <w:tc>
          <w:tcPr>
            <w:tcW w:type="dxa" w:w="2410"/>
          </w:tcPr>
          <w:p>
            <w:r>
              <w:t>Unidirectional Flag</w:t>
            </w:r>
          </w:p>
        </w:tc>
        <w:tc>
          <w:tcPr>
            <w:tcW w:type="dxa" w:w="4819"/>
          </w:tcPr>
          <w:p>
            <w:r>
              <w:t xml:space="preserve">Set true if the flux is associated with a physical process which only transfers mass in one direction. E.g. </w:t>
            </w:r>
          </w:p>
        </w:tc>
      </w:tr>
      <w:tr>
        <w:tc>
          <w:tcPr>
            <w:tcW w:type="dxa" w:w="2409"/>
          </w:tcPr>
          <w:p>
            <w:r>
              <w:t>mip [xs:string] {internalLink}</w:t>
            </w:r>
          </w:p>
        </w:tc>
        <w:tc>
          <w:tcPr>
            <w:tcW w:type="dxa" w:w="2410"/>
          </w:tcPr>
          <w:p>
            <w:r>
              <w:t>Model Intercomparison Project (MIP)</w:t>
            </w:r>
          </w:p>
        </w:tc>
        <w:tc>
          <w:tcPr>
            <w:tcW w:type="dxa" w:w="4819"/>
          </w:tcPr>
          <w:p>
            <w:r/>
          </w:p>
        </w:tc>
      </w:tr>
      <w:tr>
        <w:tc>
          <w:tcPr>
            <w:tcW w:type="dxa" w:w="2409"/>
          </w:tcPr>
          <w:p>
            <w:r>
              <w:t>signInverted [xs:boolean]</w:t>
            </w:r>
          </w:p>
        </w:tc>
        <w:tc>
          <w:tcPr>
            <w:tcW w:type="dxa" w:w="2410"/>
          </w:tcPr>
          <w:p>
            <w:r>
              <w:t>Sign Inversion</w:t>
            </w:r>
          </w:p>
        </w:tc>
        <w:tc>
          <w:tcPr>
            <w:tcW w:type="dxa" w:w="4819"/>
          </w:tcPr>
          <w:p>
            <w:r>
              <w:t>Sign Inverted should be set True for one way fluxes if the variable is defined to be negative definite. The competing constraints of CF Standard Name protocols and domain usage can cuase problems with the sign convention.</w:t>
            </w:r>
          </w:p>
        </w:tc>
      </w:tr>
      <w:tr>
        <w:tc>
          <w:tcPr>
            <w:tcW w:type="dxa" w:w="2409"/>
          </w:tcPr>
          <w:p>
            <w:r>
              <w:t>toid [xs:string] {internalLink}</w:t>
            </w:r>
          </w:p>
        </w:tc>
        <w:tc>
          <w:tcPr>
            <w:tcW w:type="dxa" w:w="2410"/>
          </w:tcPr>
          <w:p>
            <w:r>
              <w:t>Target Identifier</w:t>
            </w:r>
          </w:p>
        </w:tc>
        <w:tc>
          <w:tcPr>
            <w:tcW w:type="dxa" w:w="4819"/>
          </w:tcPr>
          <w:p>
            <w:r>
              <w:t>Identifier of the 'place' that the flux is to.</w:t>
            </w:r>
          </w:p>
        </w:tc>
      </w:tr>
      <w:tr>
        <w:tc>
          <w:tcPr>
            <w:tcW w:type="dxa" w:w="2409"/>
          </w:tcPr>
          <w:p>
            <w:r>
              <w:t>vid [xs:string] {internalLink}</w:t>
            </w:r>
          </w:p>
        </w:tc>
        <w:tc>
          <w:tcPr>
            <w:tcW w:type="dxa" w:w="2410"/>
          </w:tcPr>
          <w:p>
            <w:r>
              <w:t>Variable Identifier</w:t>
            </w:r>
          </w:p>
        </w:tc>
        <w:tc>
          <w:tcPr>
            <w:tcW w:type="dxa" w:w="4819"/>
          </w:tcPr>
          <w:p>
            <w:r>
              <w:t>Identifier of the 'CMORvar' associated with the flux.</w:t>
            </w:r>
          </w:p>
        </w:tc>
      </w:tr>
    </w:tbl>
    <w:p>
      <w:pPr>
        <w:pStyle w:val="Normal"/>
        <w:rPr/>
      </w:pPr>
      <w:r>
        <w:rPr/>
      </w:r>
    </w:p>
    <w:p>
      <w:pPr>
        <w:pStyle w:val="Normal"/>
        <w:rPr/>
      </w:pPr>
      <w:r>
        <w:rPr/>
      </w:r>
    </w:p>
    <w:p>
      <w:pPr>
        <w:pStyle w:val="Normal"/>
        <w:rPr/>
      </w:pPr>
      <w:r>
        <w:rPr/>
      </w:r>
    </w:p>
    <w:p>
      <w:pPr>
        <w:pStyle w:val="Normal"/>
        <w:rPr/>
      </w:pPr>
      <w:r>
        <w:rPr/>
      </w:r>
    </w:p>
    <w:tbl>
      <w:tblPr>
        <w:tblW w:w="9638"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2409"/>
        <w:gridCol w:w="2410"/>
        <w:gridCol w:w="2409"/>
        <w:gridCol w:w="2409"/>
      </w:tblGrid>
      <w:tr>
        <w:trPr/>
        <w:tc>
          <w:tcPr>
            <w:tcW w:w="9637"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Heading"/>
              <w:jc w:val="left"/>
              <w:rPr/>
            </w:pPr>
            <w:r>
              <w:rPr/>
              <w:t>Table xx: template</w:t>
            </w:r>
          </w:p>
        </w:tc>
      </w:tr>
      <w:tr>
        <w:trPr/>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Label</w:t>
            </w:r>
          </w:p>
        </w:tc>
        <w:tc>
          <w:tcPr>
            <w:tcW w:w="2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Title</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Description</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Type</w:t>
            </w:r>
          </w:p>
        </w:tc>
      </w:tr>
      <w:tr>
        <w:trPr/>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rPr/>
            </w:pPr>
            <w:r>
              <w:rPr/>
              <w:t>blahblah</w:t>
            </w:r>
          </w:p>
        </w:tc>
        <w:tc>
          <w:tcPr>
            <w:tcW w:w="2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bl>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GB" w:eastAsia="zh-CN" w:bidi="hi-IN"/>
    </w:rPr>
  </w:style>
  <w:style w:type="paragraph" w:styleId="Heading1">
    <w:name w:val="Heading 1"/>
    <w:basedOn w:val="Heading"/>
    <w:qFormat/>
    <w:pPr/>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Title">
    <w:name w:val="Title"/>
    <w:basedOn w:val="Heading"/>
    <w:qFormat/>
    <w:pPr/>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3" Type="http://schemas.openxmlformats.org/officeDocument/2006/relationships/settings" Target="settings.xml"/><Relationship Id="rId1" Type="http://schemas.openxmlformats.org/officeDocument/2006/relationships/styles" Target="styles.xml"/></Relationships>
</file>

<file path=docProps/app.xml><?xml version="1.0" encoding="utf-8"?>
<Properties xmlns="http://schemas.openxmlformats.org/officeDocument/2006/extended-properties" xmlns:vt="http://schemas.openxmlformats.org/officeDocument/2006/docPropsVTypes">
  <Template/>
  <TotalTime>4</TotalTime>
  <Application>LibreOffice/5.1.6.2$Linux_X86_64 LibreOffice_project/10m0$Build-2</Application>
  <Pages>1</Pages>
  <Words>19</Words>
  <Characters>114</Characters>
  <CharactersWithSpaces>120</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2019-04-26T15:28:59Z</dcterms:created>
  <dc:creator/>
  <dc:description/>
  <dc:language>en-GB</dc:language>
  <cp:lastModifiedBy/>
  <dcterms:modified xsi:type="dcterms:W3CDTF">2019-04-30T09:55:35Z</dcterms:modified>
  <cp:revision>4</cp:revision>
  <dc:subject/>
  <dc:title/>
</cp:coreProperties>
</file>