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NodeXGo Platform Refactor</w:t>
        <w:br/>
        <w:t>Developer Guide</w:t>
      </w:r>
    </w:p>
    <w:p>
      <w:r>
        <w:t>This document explains the complete visual and workflow refactor. The project remains a custom PHP application with a single entry router, JSON persistence, Bootstrap-based templates, jQuery interactions, GrapesJS editing, and server-side payment verification.</w:t>
      </w:r>
    </w:p>
    <w:p>
      <w:pPr>
        <w:pStyle w:val="Heading1"/>
      </w:pPr>
      <w:r>
        <w:t>1. Refactor overview</w:t>
      </w:r>
    </w:p>
    <w:p>
      <w:r>
        <w:t>The public experience was rebuilt around a deliberate midnight navy, cobalt blue, cyan, and white visual system. The secure pages now reuse the same tokens, rounded surfaces, responsive spacing, and profile treatment. The project uses server-rendered PHP for routing and data access, while JavaScript handles enhanced interactions only after authentication and authorization remain enforced on the server.</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Primary implementation</w:t>
            </w:r>
          </w:p>
        </w:tc>
        <w:tc>
          <w:tcPr>
            <w:tcW w:type="dxa" w:w="3312"/>
          </w:tcPr>
          <w:p>
            <w:r>
              <w:t>What changed</w:t>
            </w:r>
          </w:p>
        </w:tc>
      </w:tr>
      <w:tr>
        <w:tc>
          <w:tcPr>
            <w:tcW w:type="dxa" w:w="3312"/>
          </w:tcPr>
          <w:p>
            <w:r>
              <w:t>Landing page</w:t>
            </w:r>
          </w:p>
        </w:tc>
        <w:tc>
          <w:tcPr>
            <w:tcW w:type="dxa" w:w="3312"/>
          </w:tcPr>
          <w:p>
            <w:r>
              <w:t>main/public/index.php; assets/css/landing-pro.css</w:t>
            </w:r>
          </w:p>
        </w:tc>
        <w:tc>
          <w:tcPr>
            <w:tcW w:type="dxa" w:w="3312"/>
          </w:tcPr>
          <w:p>
            <w:r>
              <w:t>New 12-section responsive Bootstrap landing page with generated 3D visuals, responsive navigation, pricing, FAQ, CTA, and SweetAlert newsletter feedback.</w:t>
            </w:r>
          </w:p>
        </w:tc>
      </w:tr>
      <w:tr>
        <w:tc>
          <w:tcPr>
            <w:tcW w:type="dxa" w:w="3312"/>
          </w:tcPr>
          <w:p>
            <w:r>
              <w:t>Shared secure look</w:t>
            </w:r>
          </w:p>
        </w:tc>
        <w:tc>
          <w:tcPr>
            <w:tcW w:type="dxa" w:w="3312"/>
          </w:tcPr>
          <w:p>
            <w:r>
              <w:t>assets/css/nx-secure.css</w:t>
            </w:r>
          </w:p>
        </w:tc>
        <w:tc>
          <w:tcPr>
            <w:tcW w:type="dxa" w:w="3312"/>
          </w:tcPr>
          <w:p>
            <w:r>
              <w:t>Common navy/cyan visual tokens, cards, forms, buttons, tables, mobile spacing, and editor shell styling.</w:t>
            </w:r>
          </w:p>
        </w:tc>
      </w:tr>
      <w:tr>
        <w:tc>
          <w:tcPr>
            <w:tcW w:type="dxa" w:w="3312"/>
          </w:tcPr>
          <w:p>
            <w:r>
              <w:t>Frontend feedback</w:t>
            </w:r>
          </w:p>
        </w:tc>
        <w:tc>
          <w:tcPr>
            <w:tcW w:type="dxa" w:w="3312"/>
          </w:tcPr>
          <w:p>
            <w:r>
              <w:t>app.js</w:t>
            </w:r>
          </w:p>
        </w:tc>
        <w:tc>
          <w:tcPr>
            <w:tcW w:type="dxa" w:w="3312"/>
          </w:tcPr>
          <w:p>
            <w:r>
              <w:t>SweetAlert2 toast/dialog/prompt helpers replace dashboard browser alerts and confirmations.</w:t>
            </w:r>
          </w:p>
        </w:tc>
      </w:tr>
      <w:tr>
        <w:tc>
          <w:tcPr>
            <w:tcW w:type="dxa" w:w="3312"/>
          </w:tcPr>
          <w:p>
            <w:r>
              <w:t>Full editor</w:t>
            </w:r>
          </w:p>
        </w:tc>
        <w:tc>
          <w:tcPr>
            <w:tcW w:type="dxa" w:w="3312"/>
          </w:tcPr>
          <w:p>
            <w:r>
              <w:t>main/public/editor.php; index.php</w:t>
            </w:r>
          </w:p>
        </w:tc>
        <w:tc>
          <w:tcPr>
            <w:tcW w:type="dxa" w:w="3312"/>
          </w:tcPr>
          <w:p>
            <w:r>
              <w:t>Dedicated new-tab editor with code mode, GrapesJS visual mode, save, preview, reload, and asset upload.</w:t>
            </w:r>
          </w:p>
        </w:tc>
      </w:tr>
      <w:tr>
        <w:tc>
          <w:tcPr>
            <w:tcW w:type="dxa" w:w="3312"/>
          </w:tcPr>
          <w:p>
            <w:r>
              <w:t>Environment config</w:t>
            </w:r>
          </w:p>
        </w:tc>
        <w:tc>
          <w:tcPr>
            <w:tcW w:type="dxa" w:w="3312"/>
          </w:tcPr>
          <w:p>
            <w:r>
              <w:t>backend/config/config.php; .env; .env.example</w:t>
            </w:r>
          </w:p>
        </w:tc>
        <w:tc>
          <w:tcPr>
            <w:tcW w:type="dxa" w:w="3312"/>
          </w:tcPr>
          <w:p>
            <w:r>
              <w:t>Local `.env` loading with environment precedence; real secrets remain outside source control.</w:t>
            </w:r>
          </w:p>
        </w:tc>
      </w:tr>
    </w:tbl>
    <w:p>
      <w:pPr>
        <w:pStyle w:val="Heading1"/>
      </w:pPr>
      <w:r>
        <w:t>2. Landing page sections</w:t>
      </w:r>
    </w:p>
    <w:p>
      <w:r>
        <w:t>The homepage contains twelve intentionally separated sections so the story remains scannable on desktop and mobile. Each section has an anchor for navigation and uses Bootstrap containers and grid rules.</w:t>
      </w:r>
    </w:p>
    <w:tbl>
      <w:tblPr>
        <w:tblStyle w:val="TableGrid"/>
        <w:tblW w:type="auto" w:w="0"/>
        <w:tblLook w:firstColumn="1" w:firstRow="1" w:lastColumn="0" w:lastRow="0" w:noHBand="0" w:noVBand="1" w:val="04A0"/>
      </w:tblPr>
      <w:tblGrid>
        <w:gridCol w:w="3312"/>
        <w:gridCol w:w="3312"/>
        <w:gridCol w:w="3312"/>
      </w:tblGrid>
      <w:tr>
        <w:tc>
          <w:tcPr>
            <w:tcW w:type="dxa" w:w="3312"/>
          </w:tcPr>
          <w:p>
            <w:r>
              <w:t>Section</w:t>
            </w:r>
          </w:p>
        </w:tc>
        <w:tc>
          <w:tcPr>
            <w:tcW w:type="dxa" w:w="3312"/>
          </w:tcPr>
          <w:p>
            <w:r>
              <w:t>Purpose</w:t>
            </w:r>
          </w:p>
        </w:tc>
        <w:tc>
          <w:tcPr>
            <w:tcW w:type="dxa" w:w="3312"/>
          </w:tcPr>
          <w:p>
            <w:r>
              <w:t>Visual treatment</w:t>
            </w:r>
          </w:p>
        </w:tc>
      </w:tr>
      <w:tr>
        <w:tc>
          <w:tcPr>
            <w:tcW w:type="dxa" w:w="3312"/>
          </w:tcPr>
          <w:p>
            <w:r>
              <w:t>Hero</w:t>
            </w:r>
          </w:p>
        </w:tc>
        <w:tc>
          <w:tcPr>
            <w:tcW w:type="dxa" w:w="3312"/>
          </w:tcPr>
          <w:p>
            <w:r>
              <w:t>Position the platform and primary CTA.</w:t>
            </w:r>
          </w:p>
        </w:tc>
        <w:tc>
          <w:tcPr>
            <w:tcW w:type="dxa" w:w="3312"/>
          </w:tcPr>
          <w:p>
            <w:r>
              <w:t>Generated orbital cube hero with safe text area.</w:t>
            </w:r>
          </w:p>
        </w:tc>
      </w:tr>
      <w:tr>
        <w:tc>
          <w:tcPr>
            <w:tcW w:type="dxa" w:w="3312"/>
          </w:tcPr>
          <w:p>
            <w:r>
              <w:t>Proof metrics</w:t>
            </w:r>
          </w:p>
        </w:tc>
        <w:tc>
          <w:tcPr>
            <w:tcW w:type="dxa" w:w="3312"/>
          </w:tcPr>
          <w:p>
            <w:r>
              <w:t>Communicate the operating promise.</w:t>
            </w:r>
          </w:p>
        </w:tc>
        <w:tc>
          <w:tcPr>
            <w:tcW w:type="dxa" w:w="3312"/>
          </w:tcPr>
          <w:p>
            <w:r>
              <w:t>Four responsive metric cells.</w:t>
            </w:r>
          </w:p>
        </w:tc>
      </w:tr>
      <w:tr>
        <w:tc>
          <w:tcPr>
            <w:tcW w:type="dxa" w:w="3312"/>
          </w:tcPr>
          <w:p>
            <w:r>
              <w:t>Platform</w:t>
            </w:r>
          </w:p>
        </w:tc>
        <w:tc>
          <w:tcPr>
            <w:tcW w:type="dxa" w:w="3312"/>
          </w:tcPr>
          <w:p>
            <w:r>
              <w:t>Explain the three core product surfaces.</w:t>
            </w:r>
          </w:p>
        </w:tc>
        <w:tc>
          <w:tcPr>
            <w:tcW w:type="dxa" w:w="3312"/>
          </w:tcPr>
          <w:p>
            <w:r>
              <w:t>Website, infrastructure, and intelligence cards.</w:t>
            </w:r>
          </w:p>
        </w:tc>
      </w:tr>
      <w:tr>
        <w:tc>
          <w:tcPr>
            <w:tcW w:type="dxa" w:w="3312"/>
          </w:tcPr>
          <w:p>
            <w:r>
              <w:t>Workflow</w:t>
            </w:r>
          </w:p>
        </w:tc>
        <w:tc>
          <w:tcPr>
            <w:tcW w:type="dxa" w:w="3312"/>
          </w:tcPr>
          <w:p>
            <w:r>
              <w:t>Show the four-step operating rhythm.</w:t>
            </w:r>
          </w:p>
        </w:tc>
        <w:tc>
          <w:tcPr>
            <w:tcW w:type="dxa" w:w="3312"/>
          </w:tcPr>
          <w:p>
            <w:r>
              <w:t>Responsive timeline.</w:t>
            </w:r>
          </w:p>
        </w:tc>
      </w:tr>
      <w:tr>
        <w:tc>
          <w:tcPr>
            <w:tcW w:type="dxa" w:w="3312"/>
          </w:tcPr>
          <w:p>
            <w:r>
              <w:t>Cloud infrastructure</w:t>
            </w:r>
          </w:p>
        </w:tc>
        <w:tc>
          <w:tcPr>
            <w:tcW w:type="dxa" w:w="3312"/>
          </w:tcPr>
          <w:p>
            <w:r>
              <w:t>Explain secure file/workspace foundations.</w:t>
            </w:r>
          </w:p>
        </w:tc>
        <w:tc>
          <w:tcPr>
            <w:tcW w:type="dxa" w:w="3312"/>
          </w:tcPr>
          <w:p>
            <w:r>
              <w:t>Generated cloud 3D visual.</w:t>
            </w:r>
          </w:p>
        </w:tc>
      </w:tr>
      <w:tr>
        <w:tc>
          <w:tcPr>
            <w:tcW w:type="dxa" w:w="3312"/>
          </w:tcPr>
          <w:p>
            <w:r>
              <w:t>Data intelligence</w:t>
            </w:r>
          </w:p>
        </w:tc>
        <w:tc>
          <w:tcPr>
            <w:tcW w:type="dxa" w:w="3312"/>
          </w:tcPr>
          <w:p>
            <w:r>
              <w:t>Explain visibility and decisions.</w:t>
            </w:r>
          </w:p>
        </w:tc>
        <w:tc>
          <w:tcPr>
            <w:tcW w:type="dxa" w:w="3312"/>
          </w:tcPr>
          <w:p>
            <w:r>
              <w:t>Generated data globe visual.</w:t>
            </w:r>
          </w:p>
        </w:tc>
      </w:tr>
      <w:tr>
        <w:tc>
          <w:tcPr>
            <w:tcW w:type="dxa" w:w="3312"/>
          </w:tcPr>
          <w:p>
            <w:r>
              <w:t>Creative builder</w:t>
            </w:r>
          </w:p>
        </w:tc>
        <w:tc>
          <w:tcPr>
            <w:tcW w:type="dxa" w:w="3312"/>
          </w:tcPr>
          <w:p>
            <w:r>
              <w:t>Explain code plus visual editing.</w:t>
            </w:r>
          </w:p>
        </w:tc>
        <w:tc>
          <w:tcPr>
            <w:tcW w:type="dxa" w:w="3312"/>
          </w:tcPr>
          <w:p>
            <w:r>
              <w:t>Generated builder visual and tool pills.</w:t>
            </w:r>
          </w:p>
        </w:tc>
      </w:tr>
      <w:tr>
        <w:tc>
          <w:tcPr>
            <w:tcW w:type="dxa" w:w="3312"/>
          </w:tcPr>
          <w:p>
            <w:r>
              <w:t>Security</w:t>
            </w:r>
          </w:p>
        </w:tc>
        <w:tc>
          <w:tcPr>
            <w:tcW w:type="dxa" w:w="3312"/>
          </w:tcPr>
          <w:p>
            <w:r>
              <w:t>Explain identity, publishing, and payment trust.</w:t>
            </w:r>
          </w:p>
        </w:tc>
        <w:tc>
          <w:tcPr>
            <w:tcW w:type="dxa" w:w="3312"/>
          </w:tcPr>
          <w:p>
            <w:r>
              <w:t>Dark feature cards.</w:t>
            </w:r>
          </w:p>
        </w:tc>
      </w:tr>
      <w:tr>
        <w:tc>
          <w:tcPr>
            <w:tcW w:type="dxa" w:w="3312"/>
          </w:tcPr>
          <w:p>
            <w:r>
              <w:t>Plans</w:t>
            </w:r>
          </w:p>
        </w:tc>
        <w:tc>
          <w:tcPr>
            <w:tcW w:type="dxa" w:w="3312"/>
          </w:tcPr>
          <w:p>
            <w:r>
              <w:t>Present Starter, Business, and Enterprise paths.</w:t>
            </w:r>
          </w:p>
        </w:tc>
        <w:tc>
          <w:tcPr>
            <w:tcW w:type="dxa" w:w="3312"/>
          </w:tcPr>
          <w:p>
            <w:r>
              <w:t>Responsive pricing cards.</w:t>
            </w:r>
          </w:p>
        </w:tc>
      </w:tr>
      <w:tr>
        <w:tc>
          <w:tcPr>
            <w:tcW w:type="dxa" w:w="3312"/>
          </w:tcPr>
          <w:p>
            <w:r>
              <w:t>People/profile</w:t>
            </w:r>
          </w:p>
        </w:tc>
        <w:tc>
          <w:tcPr>
            <w:tcW w:type="dxa" w:w="3312"/>
          </w:tcPr>
          <w:p>
            <w:r>
              <w:t>Connect the platform to the person using it.</w:t>
            </w:r>
          </w:p>
        </w:tc>
        <w:tc>
          <w:tcPr>
            <w:tcW w:type="dxa" w:w="3312"/>
          </w:tcPr>
          <w:p>
            <w:r>
              <w:t>Generated profile visual reused in account context.</w:t>
            </w:r>
          </w:p>
        </w:tc>
      </w:tr>
      <w:tr>
        <w:tc>
          <w:tcPr>
            <w:tcW w:type="dxa" w:w="3312"/>
          </w:tcPr>
          <w:p>
            <w:r>
              <w:t>FAQ</w:t>
            </w:r>
          </w:p>
        </w:tc>
        <w:tc>
          <w:tcPr>
            <w:tcW w:type="dxa" w:w="3312"/>
          </w:tcPr>
          <w:p>
            <w:r>
              <w:t>Answer the most important onboarding questions.</w:t>
            </w:r>
          </w:p>
        </w:tc>
        <w:tc>
          <w:tcPr>
            <w:tcW w:type="dxa" w:w="3312"/>
          </w:tcPr>
          <w:p>
            <w:r>
              <w:t>Bootstrap accordion.</w:t>
            </w:r>
          </w:p>
        </w:tc>
      </w:tr>
      <w:tr>
        <w:tc>
          <w:tcPr>
            <w:tcW w:type="dxa" w:w="3312"/>
          </w:tcPr>
          <w:p>
            <w:r>
              <w:t>CTA/footer</w:t>
            </w:r>
          </w:p>
        </w:tc>
        <w:tc>
          <w:tcPr>
            <w:tcW w:type="dxa" w:w="3312"/>
          </w:tcPr>
          <w:p>
            <w:r>
              <w:t>Close the narrative and provide navigation.</w:t>
            </w:r>
          </w:p>
        </w:tc>
        <w:tc>
          <w:tcPr>
            <w:tcW w:type="dxa" w:w="3312"/>
          </w:tcPr>
          <w:p>
            <w:r>
              <w:t>CTA band and footer links/forms.</w:t>
            </w:r>
          </w:p>
        </w:tc>
      </w:tr>
    </w:tbl>
    <w:p>
      <w:pPr>
        <w:pStyle w:val="Heading1"/>
      </w:pPr>
      <w:r>
        <w:t>3. Generated visual assets</w:t>
      </w:r>
    </w:p>
    <w:p>
      <w:r>
        <w:t>Original 3D-style assets are stored under `assets/images/generated/` and referenced directly by the landing page. The hero asset establishes the visual language; the cloud, data, builder, and profile assets use the same dark glass-and-cyan material direction. The profile visual can be reused for profile headers or empty states without exposing private user data.</w:t>
      </w:r>
    </w:p>
    <w:p>
      <w:pPr>
        <w:pStyle w:val="ListBullet"/>
      </w:pPr>
      <w:r>
        <w:t>nodexgo-hero-3d.png — hero orbital cube.</w:t>
      </w:r>
    </w:p>
    <w:p>
      <w:pPr>
        <w:pStyle w:val="ListBullet"/>
      </w:pPr>
      <w:r>
        <w:t>nodexgo-cloud-3d.png — cloud and server infrastructure.</w:t>
      </w:r>
    </w:p>
    <w:p>
      <w:pPr>
        <w:pStyle w:val="ListBullet"/>
      </w:pPr>
      <w:r>
        <w:t>nodexgo-data-3d.png — data intelligence globe.</w:t>
      </w:r>
    </w:p>
    <w:p>
      <w:pPr>
        <w:pStyle w:val="ListBullet"/>
      </w:pPr>
      <w:r>
        <w:t>nodexgo-builder-3d.png — visual website builder.</w:t>
      </w:r>
    </w:p>
    <w:p>
      <w:pPr>
        <w:pStyle w:val="ListBullet"/>
      </w:pPr>
      <w:r>
        <w:t>nodexgo-profile-3d.png — abstract digital identity/profile art.</w:t>
      </w:r>
    </w:p>
    <w:p>
      <w:pPr>
        <w:pStyle w:val="Heading1"/>
      </w:pPr>
      <w:r>
        <w:t>4. Secure-page behavior</w:t>
      </w:r>
    </w:p>
    <w:p>
      <w:r>
        <w:t>The shared `nx-secure.css` file is loaded by both admin and tenant shells. It does not replace Bootstrap; it extends Bootstrap with a consistent design language. The user profile and administrator profile pages use responsive columns, avatar previews, validation messaging, and server-side file checks. The sidebar now displays a stored profile avatar or a safe initials fallback.</w:t>
      </w:r>
    </w:p>
    <w:p>
      <w:pPr>
        <w:pStyle w:val="Heading1"/>
      </w:pPr>
      <w:r>
        <w:t>5. SweetAlert2 conversion</w:t>
      </w:r>
    </w:p>
    <w:p>
      <w:r>
        <w:t>The dashboard controller defines `nxToast`, `nxDialog`, and `nxPrompt`. These helpers provide one consistent feedback layer for file actions, payment errors, website creation, custom-domain inputs, and destructive operations. The browser fallback exists only for environments where the CDN library is unavailable; production deployments should pin or self-host the library if offline resilience is required.</w:t>
      </w:r>
    </w:p>
    <w:p>
      <w:pPr>
        <w:pStyle w:val="Heading1"/>
      </w:pPr>
      <w:r>
        <w:t>6. Full GrapesJS editor</w:t>
      </w:r>
    </w:p>
    <w:p>
      <w:r>
        <w:t>Selecting a file in the dashboard file manager now opens `/editor?subdomain=...&amp;file=...` in a new tab. The editor page provides a dark tool rail, code editing mode, GrapesJS visual mode, reload, save, preview, and asset upload. Every API request includes the selected workspace and file, and the existing backend service remains responsible for authorization and path-boundary checks. The query string selects context; it does not grant access.</w:t>
      </w:r>
    </w:p>
    <w:p>
      <w:pPr>
        <w:pStyle w:val="Heading1"/>
      </w:pPr>
      <w:r>
        <w:t>7. Flutterwave environment configuration</w:t>
      </w:r>
    </w:p>
    <w:p>
      <w:r>
        <w:t>The root `.env` file is ignored by source control and contains empty placeholders. Put deployment values there only on a private server, or inject them through the hosting environment. The configuration loader reads `.env` only when a real environment variable is absent, so hosted environment variables win. Required values are `FLW_PUBLIC_KEY`, `FLW_SECRET_KEY`, `FLW_ENCRYPTION_KEY`, `FLW_WEBHOOK_HASH`, and `APP_BASE_URL`.</w:t>
      </w:r>
    </w:p>
    <w:tbl>
      <w:tblPr>
        <w:tblStyle w:val="TableGrid"/>
        <w:tblW w:type="auto" w:w="0"/>
        <w:tblLook w:firstColumn="1" w:firstRow="1" w:lastColumn="0" w:lastRow="0" w:noHBand="0" w:noVBand="1" w:val="04A0"/>
      </w:tblPr>
      <w:tblGrid>
        <w:gridCol w:w="4968"/>
        <w:gridCol w:w="4968"/>
      </w:tblGrid>
      <w:tr>
        <w:tc>
          <w:tcPr>
            <w:tcW w:type="dxa" w:w="4968"/>
          </w:tcPr>
          <w:p>
            <w:r>
              <w:t>Variable</w:t>
            </w:r>
          </w:p>
        </w:tc>
        <w:tc>
          <w:tcPr>
            <w:tcW w:type="dxa" w:w="4968"/>
          </w:tcPr>
          <w:p>
            <w:r>
              <w:t>Purpose</w:t>
            </w:r>
          </w:p>
        </w:tc>
      </w:tr>
      <w:tr>
        <w:tc>
          <w:tcPr>
            <w:tcW w:type="dxa" w:w="4968"/>
          </w:tcPr>
          <w:p>
            <w:r>
              <w:t>APP_BASE_URL</w:t>
            </w:r>
          </w:p>
        </w:tc>
        <w:tc>
          <w:tcPr>
            <w:tcW w:type="dxa" w:w="4968"/>
          </w:tcPr>
          <w:p>
            <w:r>
              <w:t>Public HTTPS callback and application origin.</w:t>
            </w:r>
          </w:p>
        </w:tc>
      </w:tr>
      <w:tr>
        <w:tc>
          <w:tcPr>
            <w:tcW w:type="dxa" w:w="4968"/>
          </w:tcPr>
          <w:p>
            <w:r>
              <w:t>FLW_PUBLIC_KEY</w:t>
            </w:r>
          </w:p>
        </w:tc>
        <w:tc>
          <w:tcPr>
            <w:tcW w:type="dxa" w:w="4968"/>
          </w:tcPr>
          <w:p>
            <w:r>
              <w:t>Client/public Flutterwave configuration where required.</w:t>
            </w:r>
          </w:p>
        </w:tc>
      </w:tr>
      <w:tr>
        <w:tc>
          <w:tcPr>
            <w:tcW w:type="dxa" w:w="4968"/>
          </w:tcPr>
          <w:p>
            <w:r>
              <w:t>FLW_SECRET_KEY</w:t>
            </w:r>
          </w:p>
        </w:tc>
        <w:tc>
          <w:tcPr>
            <w:tcW w:type="dxa" w:w="4968"/>
          </w:tcPr>
          <w:p>
            <w:r>
              <w:t>Server-only Flutterwave initialization and verification credential.</w:t>
            </w:r>
          </w:p>
        </w:tc>
      </w:tr>
      <w:tr>
        <w:tc>
          <w:tcPr>
            <w:tcW w:type="dxa" w:w="4968"/>
          </w:tcPr>
          <w:p>
            <w:r>
              <w:t>FLW_ENCRYPTION_KEY</w:t>
            </w:r>
          </w:p>
        </w:tc>
        <w:tc>
          <w:tcPr>
            <w:tcW w:type="dxa" w:w="4968"/>
          </w:tcPr>
          <w:p>
            <w:r>
              <w:t>Flutterwave encryption configuration where the integration requires it.</w:t>
            </w:r>
          </w:p>
        </w:tc>
      </w:tr>
      <w:tr>
        <w:tc>
          <w:tcPr>
            <w:tcW w:type="dxa" w:w="4968"/>
          </w:tcPr>
          <w:p>
            <w:r>
              <w:t>FLW_WEBHOOK_HASH</w:t>
            </w:r>
          </w:p>
        </w:tc>
        <w:tc>
          <w:tcPr>
            <w:tcW w:type="dxa" w:w="4968"/>
          </w:tcPr>
          <w:p>
            <w:r>
              <w:t>Webhook authenticity check.</w:t>
            </w:r>
          </w:p>
        </w:tc>
      </w:tr>
    </w:tbl>
    <w:p>
      <w:r>
        <w:t>Never place a real secret in `.env.example`, documentation, screenshots, or the project archive. Rotate credentials that have been shared in a chat or committed accidentally.</w:t>
      </w:r>
    </w:p>
    <w:p>
      <w:pPr>
        <w:pStyle w:val="Heading1"/>
      </w:pPr>
      <w:r>
        <w:t>8. Library policy</w:t>
      </w:r>
    </w:p>
    <w:p>
      <w:r>
        <w:t>The provided list contains overlapping frameworks. The refactor uses Bootstrap, jQuery, SweetAlert2, AOS, Uppy, GrapesJS, and existing Font Awesome because these match the PHP application and requested behaviors. React, Vue, Alpine, HTMX, Laravel, Symfony, Livewire, and other alternatives should not be bundled simultaneously; adopt one of them only as a deliberate migration project.</w:t>
      </w:r>
    </w:p>
    <w:p>
      <w:pPr>
        <w:pStyle w:val="Heading1"/>
      </w:pPr>
      <w:r>
        <w:t>9. Testing and deployment</w:t>
      </w:r>
    </w:p>
    <w:p>
      <w:pPr>
        <w:pStyle w:val="ListBullet"/>
      </w:pPr>
      <w:r>
        <w:t>Run `php -l` over every PHP file and `node --check app.js` before deployment.</w:t>
      </w:r>
    </w:p>
    <w:p>
      <w:pPr>
        <w:pStyle w:val="ListBullet"/>
      </w:pPr>
      <w:r>
        <w:t>Verify `/`, `/login`, `/register`, `/editor`, `/admin/profile`, and `/user/dashboard` through the single router.</w:t>
      </w:r>
    </w:p>
    <w:p>
      <w:pPr>
        <w:pStyle w:val="ListBullet"/>
      </w:pPr>
      <w:r>
        <w:t>Test on a narrow phone viewport: nav collapse, stacked cards, pricing columns, profile forms, and editor tool rail.</w:t>
      </w:r>
    </w:p>
    <w:p>
      <w:pPr>
        <w:pStyle w:val="ListBullet"/>
      </w:pPr>
      <w:r>
        <w:t>Test file selection in a new tab, code save, GrapesJS save, preview, and asset upload using a disposable workspace.</w:t>
      </w:r>
    </w:p>
    <w:p>
      <w:pPr>
        <w:pStyle w:val="ListBullet"/>
      </w:pPr>
      <w:r>
        <w:t>Configure Flutterwave in a sandbox first, then switch to rotated live values after server-side verification succeeds.</w:t>
      </w:r>
    </w:p>
    <w:p>
      <w:pPr>
        <w:pStyle w:val="ListBullet"/>
      </w:pPr>
      <w:r>
        <w:t>Keep `.env`, uploads, logs, and JSON data protected according to the deployment environment.</w:t>
      </w:r>
    </w:p>
    <w:p>
      <w:pPr>
        <w:pStyle w:val="Heading1"/>
      </w:pPr>
      <w:r>
        <w:t>References</w:t>
      </w:r>
    </w:p>
    <w:p>
      <w:pPr>
        <w:pStyle w:val="ListBullet"/>
      </w:pPr>
      <w:r>
        <w:t>Bootstrap 5 — https://getbootstrap.com/docs/5.3/</w:t>
      </w:r>
    </w:p>
    <w:p>
      <w:pPr>
        <w:pStyle w:val="ListBullet"/>
      </w:pPr>
      <w:r>
        <w:t>SweetAlert2 — https://sweetalert2.github.io/</w:t>
      </w:r>
    </w:p>
    <w:p>
      <w:pPr>
        <w:pStyle w:val="ListBullet"/>
      </w:pPr>
      <w:r>
        <w:t>AOS — https://michalsnik.github.io/aos/</w:t>
      </w:r>
    </w:p>
    <w:p>
      <w:pPr>
        <w:pStyle w:val="ListBullet"/>
      </w:pPr>
      <w:r>
        <w:t>GrapesJS — https://grapesjs.com/docs/</w:t>
      </w:r>
    </w:p>
    <w:p>
      <w:pPr>
        <w:pStyle w:val="ListBullet"/>
      </w:pPr>
      <w:r>
        <w:t>Uppy — https://uppy.io/docs/</w:t>
      </w:r>
    </w:p>
    <w:p>
      <w:pPr>
        <w:pStyle w:val="ListBullet"/>
      </w:pPr>
      <w:r>
        <w:t>Flutterwave API — https://developer.flutterwave.com/docs/</w:t>
      </w:r>
    </w:p>
    <w:p>
      <w:r>
        <w:br w:type="page"/>
      </w:r>
    </w:p>
    <w:p>
      <w:pPr>
        <w:pStyle w:val="Heading1"/>
      </w:pPr>
      <w:r>
        <w:t>Content Integration Addendum</w:t>
      </w:r>
    </w:p>
    <w:p>
      <w:r>
        <w:t>The public homepage refactor preserves the original NodeXGo narrative and connects it to the new professional visual system. This is important because the landing page is not only a product conversion page; it is also the company story, founder mandate, public portfolio, and roadmap entry point.</w:t>
      </w:r>
    </w:p>
    <w:p>
      <w:pPr>
        <w:pStyle w:val="Heading2"/>
      </w:pPr>
      <w:r>
        <w:t>Preserved public content</w:t>
      </w:r>
    </w:p>
    <w:tbl>
      <w:tblPr>
        <w:tblStyle w:val="TableGrid"/>
        <w:tblW w:type="auto" w:w="0"/>
        <w:tblLook w:firstColumn="1" w:firstRow="1" w:lastColumn="0" w:lastRow="0" w:noHBand="0" w:noVBand="1" w:val="04A0"/>
      </w:tblPr>
      <w:tblGrid>
        <w:gridCol w:w="3312"/>
        <w:gridCol w:w="3312"/>
        <w:gridCol w:w="3312"/>
      </w:tblGrid>
      <w:tr>
        <w:tc>
          <w:tcPr>
            <w:tcW w:type="dxa" w:w="3312"/>
          </w:tcPr>
          <w:p>
            <w:r>
              <w:t>Content</w:t>
            </w:r>
          </w:p>
        </w:tc>
        <w:tc>
          <w:tcPr>
            <w:tcW w:type="dxa" w:w="3312"/>
          </w:tcPr>
          <w:p>
            <w:r>
              <w:t>Homepage treatment</w:t>
            </w:r>
          </w:p>
        </w:tc>
        <w:tc>
          <w:tcPr>
            <w:tcW w:type="dxa" w:w="3312"/>
          </w:tcPr>
          <w:p>
            <w:r>
              <w:t>Original route</w:t>
            </w:r>
          </w:p>
        </w:tc>
      </w:tr>
      <w:tr>
        <w:tc>
          <w:tcPr>
            <w:tcW w:type="dxa" w:w="3312"/>
          </w:tcPr>
          <w:p>
            <w:r>
              <w:t>About corporate mission</w:t>
            </w:r>
          </w:p>
        </w:tc>
        <w:tc>
          <w:tcPr>
            <w:tcW w:type="dxa" w:w="3312"/>
          </w:tcPr>
          <w:p>
            <w:r>
              <w:t>Mission copy, lightweight architecture positioning, team banners, and strategic story.</w:t>
            </w:r>
          </w:p>
        </w:tc>
        <w:tc>
          <w:tcPr>
            <w:tcW w:type="dxa" w:w="3312"/>
          </w:tcPr>
          <w:p>
            <w:r>
              <w:t>/about</w:t>
            </w:r>
          </w:p>
        </w:tc>
      </w:tr>
      <w:tr>
        <w:tc>
          <w:tcPr>
            <w:tcW w:type="dxa" w:w="3312"/>
          </w:tcPr>
          <w:p>
            <w:r>
              <w:t>Cedar Anyanwu founder mandate</w:t>
            </w:r>
          </w:p>
        </w:tc>
        <w:tc>
          <w:tcPr>
            <w:tcW w:type="dxa" w:w="3312"/>
          </w:tcPr>
          <w:p>
            <w:r>
              <w:t>Founder profile photo, title, quote, and space-data/software vision.</w:t>
            </w:r>
          </w:p>
        </w:tc>
        <w:tc>
          <w:tcPr>
            <w:tcW w:type="dxa" w:w="3312"/>
          </w:tcPr>
          <w:p>
            <w:r>
              <w:t>/cedar</w:t>
            </w:r>
          </w:p>
        </w:tc>
      </w:tr>
      <w:tr>
        <w:tc>
          <w:tcPr>
            <w:tcW w:type="dxa" w:w="3312"/>
          </w:tcPr>
          <w:p>
            <w:r>
              <w:t>Executive portfolio</w:t>
            </w:r>
          </w:p>
        </w:tc>
        <w:tc>
          <w:tcPr>
            <w:tcW w:type="dxa" w:w="3312"/>
          </w:tcPr>
          <w:p>
            <w:r>
              <w:t>Modular CMS router, GIS imagery processing, and creative digital systems.</w:t>
            </w:r>
          </w:p>
        </w:tc>
        <w:tc>
          <w:tcPr>
            <w:tcW w:type="dxa" w:w="3312"/>
          </w:tcPr>
          <w:p>
            <w:r>
              <w:t>/portfolio</w:t>
            </w:r>
          </w:p>
        </w:tc>
      </w:tr>
      <w:tr>
        <w:tc>
          <w:tcPr>
            <w:tcW w:type="dxa" w:w="3312"/>
          </w:tcPr>
          <w:p>
            <w:r>
              <w:t>Corporate roadmap</w:t>
            </w:r>
          </w:p>
        </w:tc>
        <w:tc>
          <w:tcPr>
            <w:tcW w:type="dxa" w:w="3312"/>
          </w:tcPr>
          <w:p>
            <w:r>
              <w:t>Foundation Engine, Platform Scale, and future telemetry/partnership direction.</w:t>
            </w:r>
          </w:p>
        </w:tc>
        <w:tc>
          <w:tcPr>
            <w:tcW w:type="dxa" w:w="3312"/>
          </w:tcPr>
          <w:p>
            <w:r>
              <w:t>/roadmap</w:t>
            </w:r>
          </w:p>
        </w:tc>
      </w:tr>
      <w:tr>
        <w:tc>
          <w:tcPr>
            <w:tcW w:type="dxa" w:w="3312"/>
          </w:tcPr>
          <w:p>
            <w:r>
              <w:t>Platform traction</w:t>
            </w:r>
          </w:p>
        </w:tc>
        <w:tc>
          <w:tcPr>
            <w:tcW w:type="dxa" w:w="3312"/>
          </w:tcPr>
          <w:p>
            <w:r>
              <w:t>Agritech soil-health and cloud expansion narrative with the existing public framing.</w:t>
            </w:r>
          </w:p>
        </w:tc>
        <w:tc>
          <w:tcPr>
            <w:tcW w:type="dxa" w:w="3312"/>
          </w:tcPr>
          <w:p>
            <w:r>
              <w:t>/traction</w:t>
            </w:r>
          </w:p>
        </w:tc>
      </w:tr>
      <w:tr>
        <w:tc>
          <w:tcPr>
            <w:tcW w:type="dxa" w:w="3312"/>
          </w:tcPr>
          <w:p>
            <w:r>
              <w:t>Corporate gallery</w:t>
            </w:r>
          </w:p>
        </w:tc>
        <w:tc>
          <w:tcPr>
            <w:tcW w:type="dxa" w:w="3312"/>
          </w:tcPr>
          <w:p>
            <w:r>
              <w:t>Team images, land telemetry, soil intelligence, and white-label dashboard highlights.</w:t>
            </w:r>
          </w:p>
        </w:tc>
        <w:tc>
          <w:tcPr>
            <w:tcW w:type="dxa" w:w="3312"/>
          </w:tcPr>
          <w:p>
            <w:r>
              <w:t>/gallary</w:t>
            </w:r>
          </w:p>
        </w:tc>
      </w:tr>
    </w:tbl>
    <w:p>
      <w:pPr>
        <w:pStyle w:val="Heading2"/>
      </w:pPr>
      <w:r>
        <w:t>Design integration</w:t>
      </w:r>
    </w:p>
    <w:p>
      <w:r>
        <w:t>The homepage uses the new navy, cobalt, cyan, and white design language while keeping the original Cedar photo, About banners, and team images. The generated 3D visuals supplement rather than replace the existing company content. Navigation labels and footer links provide direct access to each original public page, while the homepage anchors make the story scannable on mobile.</w:t>
      </w:r>
    </w:p>
    <w:p>
      <w:pPr>
        <w:pStyle w:val="Heading2"/>
      </w:pPr>
      <w:r>
        <w:t>Maintenance guidance</w:t>
      </w:r>
    </w:p>
    <w:p>
      <w:r>
        <w:t>When updating Cedar, About, roadmap, traction, portfolio, or gallery content, update the source public page and the corresponding homepage block in main/public/index.php. Keep the route names stable because external links, SEO breadcrumbs, and the shared footer depend on them. Keep all imagery under the existing assets directories and provide descriptive alt text for accessibility and search engines.</w:t>
      </w:r>
    </w:p>
    <w:p>
      <w:r>
        <w:br w:type="page"/>
      </w:r>
    </w:p>
    <w:p>
      <w:pPr>
        <w:pStyle w:val="Heading1"/>
      </w:pPr>
      <w:r>
        <w:t>Production Completion Addendum</w:t>
      </w:r>
    </w:p>
    <w:p>
      <w:r>
        <w:t>The final completion pass checked the full central route map, public content routes, protected routes, static assets, browser rendering, environment handling, and production web-server rules.</w:t>
      </w:r>
    </w:p>
    <w:p>
      <w:pPr>
        <w:pStyle w:val="Heading2"/>
      </w:pPr>
      <w:r>
        <w:t>Important production fixes</w:t>
      </w:r>
    </w:p>
    <w:p>
      <w:pPr>
        <w:pStyle w:val="ListBullet"/>
      </w:pPr>
      <w:r>
        <w:t>The landing stylesheet now uses the real /assets/css/landing-pro.css path. The previous asset helper URL returned the PHP HTML fallback, which made the first browser render appear unstyled.</w:t>
      </w:r>
    </w:p>
    <w:p>
      <w:pPr>
        <w:pStyle w:val="ListBullet"/>
      </w:pPr>
      <w:r>
        <w:t>The landing page includes the original About Corporate, Cedar Anyanwu, Portfolio, Roadmap, Traction, and Gallery content, with stable links to each original public route.</w:t>
      </w:r>
    </w:p>
    <w:p>
      <w:pPr>
        <w:pStyle w:val="ListBullet"/>
      </w:pPr>
      <w:r>
        <w:t>A shared SweetAlert2 bridge was added for secure shells so legacy alert() calls render branded feedback instead of browser-native alert boxes.</w:t>
      </w:r>
    </w:p>
    <w:p>
      <w:pPr>
        <w:pStyle w:val="ListBullet"/>
      </w:pPr>
      <w:r>
        <w:t>The dedicated /editor route opens selected files in a new tab with code editing, GrapesJS visual editing, save, preview, reload, and asset-upload actions.</w:t>
      </w:r>
    </w:p>
    <w:p>
      <w:pPr>
        <w:pStyle w:val="ListBullet"/>
      </w:pPr>
      <w:r>
        <w:t>The local .env placeholder was removed from the web root before release. .env.example remains as the safe deployment template. Real values belong in hosting environment variables or a private server-side .env file.</w:t>
      </w:r>
    </w:p>
    <w:p>
      <w:pPr>
        <w:pStyle w:val="ListBullet"/>
      </w:pPr>
      <w:r>
        <w:t>The Apache .htaccess rules deny direct requests for .env, .git, databases, uploads, backups, temporary files, logs, JSON, SQL, and backup extensions.</w:t>
      </w:r>
    </w:p>
    <w:p>
      <w:pPr>
        <w:pStyle w:val="Heading2"/>
      </w:pPr>
      <w:r>
        <w:t>Verification results</w:t>
      </w:r>
    </w:p>
    <w:p>
      <w:r>
        <w:t>All central route targets exist. Public HTTP smoke checks returned 200 for the landing page, About, Cedar, Portfolio, Roadmap, Traction, Gallery, login, register, and static CSS/JavaScript assets. Protected editor, administrator profile, and tenant dashboard routes returned 302 redirects for unauthenticated visitors. The server log contained no fatal, warning, parse, or uncaught errors during testing. PHP syntax and JavaScript syntax checks passed.</w:t>
      </w:r>
    </w:p>
    <w:p>
      <w:pPr>
        <w:pStyle w:val="Heading2"/>
      </w:pPr>
      <w:r>
        <w:t>Deployment checklist</w:t>
      </w:r>
    </w:p>
    <w:p>
      <w:r>
        <w:t>Copy .env.example to a private .env only outside source control, set APP_BASE_URL to the real HTTPS origin, configure rotated Flutterwave credentials, configure the web server to use the project .htaccess rules, confirm databases and uploads are not directly web-accessible, and test one Flutterwave sandbox subscription before enabling live payments.</w:t>
      </w:r>
    </w:p>
    <w:p>
      <w:r>
        <w:br w:type="page"/>
      </w:r>
    </w:p>
    <w:p>
      <w:pPr>
        <w:pStyle w:val="Heading1"/>
      </w:pPr>
      <w:r>
        <w:t>Deep-Space Public Pages Addendum</w:t>
      </w:r>
    </w:p>
    <w:p>
      <w:r>
        <w:t>The public presentation now uses a consistent NodeXGo deep-space visual system across the homepage, About, Cedar, Gallery, Roadmap, Traction, Portfolio, Login, and Register pages. This is a frontend-only refactor: the existing PHP routes, form IDs, AJAX endpoints, redirects, and validation contracts remain intact.</w:t>
      </w:r>
    </w:p>
    <w:p>
      <w:pPr>
        <w:pStyle w:val="Heading2"/>
      </w:pPr>
      <w:r>
        <w:t>Brand and imagery</w:t>
      </w:r>
    </w:p>
    <w:p>
      <w:pPr>
        <w:pStyle w:val="ListBullet"/>
      </w:pPr>
      <w:r>
        <w:t>The existing NodeXGo logo at main/assets/images/logo.png is used in the public navigation, homepage footer, Login panel, and Register panel.</w:t>
      </w:r>
    </w:p>
    <w:p>
      <w:pPr>
        <w:pStyle w:val="ListBullet"/>
      </w:pPr>
      <w:r>
        <w:t>The original Cedar profile image at main/assets/images/cedar-profile.jpg is used in the homepage Founder section so the real profile image remains the primary identity asset.</w:t>
      </w:r>
    </w:p>
    <w:p>
      <w:pPr>
        <w:pStyle w:val="ListBullet"/>
      </w:pPr>
      <w:r>
        <w:t>Original deep-space 3D assets are stored under assets/images/generated: nodexgo-deep-space-hero-final.png for the hero, nodexgo-orbit-platform-final.png for the workspace and registration visual, and nodexgo-profile-orbit-final.png for secure access/profile-oriented visual treatment.</w:t>
      </w:r>
    </w:p>
    <w:p>
      <w:pPr>
        <w:pStyle w:val="Heading2"/>
      </w:pPr>
      <w:r>
        <w:t>Authentication page contracts</w:t>
      </w:r>
    </w:p>
    <w:p>
      <w:r>
        <w:t>Login retains #loginForm, #loginEmail, #loginPassword, #btnLogin, the /php/login.php AJAX endpoint, response-based redirects, and unverified-account messaging. Register retains #registerForm, #regFullname, #regEmail, #regPassword, #btnRegister, the /php/register.php AJAX endpoint, reset-on-success behavior, and server response messaging.</w:t>
      </w:r>
    </w:p>
    <w:p>
      <w:pPr>
        <w:pStyle w:val="Heading2"/>
      </w:pPr>
      <w:r>
        <w:t>Responsive visual layer</w:t>
      </w:r>
    </w:p>
    <w:p>
      <w:r>
        <w:t>assets/css/public-space.css provides the shared starfield, glass panels, cyan-blue orbital palette, responsive authentication split layout, public navigation treatment, and shared footer treatment. The homepage uses the final hero background and generated 3D assets through landing-pro.css. Narrative pages receive the shared public-space class without changing their original content or route links.</w:t>
      </w:r>
    </w:p>
    <w:p>
      <w:pPr>
        <w:pStyle w:val="Heading2"/>
      </w:pPr>
      <w:r>
        <w:t>Verification</w:t>
      </w:r>
    </w:p>
    <w:p>
      <w:r>
        <w:t>PHP linting and JavaScript syntax checks passed. The public routes /, /login, /register, /about, /cedar, /gallary, /roadmap, /traction, and /portfolio returned HTTP 200 in the local production-like server. The expected Login and Register form IDs and AJAX contracts were found, the final imagery and logo assets were present, and the runtime log contained no fatal, warning, parse, or uncaught errors.</w:t>
      </w:r>
    </w:p>
    <w:p>
      <w:pPr>
        <w:pStyle w:val="Heading1"/>
      </w:pPr>
      <w:r>
        <w:t>Complete Production Rebuild — August 2026</w:t>
      </w:r>
    </w:p>
    <w:p>
      <w:r>
        <w:t>This release begins the complete presentation rebuild of NodeXGo from the legacy implementation. The rebuild reads and preserves the existing application contracts before changing the user-facing structure. The single-entry PHP router, session handling, role authorization, tenant isolation, file manager, GrapesJS route, Flutterwave verification flow, JSON-backed data contracts, and subdomain-first tenant routing remain protected boundaries.</w:t>
      </w:r>
    </w:p>
    <w:p>
      <w:pPr>
        <w:pStyle w:val="Heading2"/>
      </w:pPr>
      <w:r>
        <w:t>Public 23-Section Contract</w:t>
      </w:r>
    </w:p>
    <w:tbl>
      <w:tblPr>
        <w:tblStyle w:val="TableGrid"/>
        <w:tblW w:type="auto" w:w="0"/>
        <w:tblLook w:firstColumn="1" w:firstRow="1" w:lastColumn="0" w:lastRow="0" w:noHBand="0" w:noVBand="1" w:val="04A0"/>
      </w:tblPr>
      <w:tblGrid>
        <w:gridCol w:w="3312"/>
        <w:gridCol w:w="3312"/>
        <w:gridCol w:w="3312"/>
      </w:tblGrid>
      <w:tr>
        <w:tc>
          <w:tcPr>
            <w:tcW w:type="dxa" w:w="3312"/>
          </w:tcPr>
          <w:p>
            <w:r>
              <w:t>No.</w:t>
            </w:r>
          </w:p>
        </w:tc>
        <w:tc>
          <w:tcPr>
            <w:tcW w:type="dxa" w:w="3312"/>
          </w:tcPr>
          <w:p>
            <w:r>
              <w:t>Section</w:t>
            </w:r>
          </w:p>
        </w:tc>
        <w:tc>
          <w:tcPr>
            <w:tcW w:type="dxa" w:w="3312"/>
          </w:tcPr>
          <w:p>
            <w:r>
              <w:t>Purpose</w:t>
            </w:r>
          </w:p>
        </w:tc>
      </w:tr>
      <w:tr>
        <w:tc>
          <w:tcPr>
            <w:tcW w:type="dxa" w:w="3312"/>
          </w:tcPr>
          <w:p>
            <w:r>
              <w:t>01</w:t>
            </w:r>
          </w:p>
        </w:tc>
        <w:tc>
          <w:tcPr>
            <w:tcW w:type="dxa" w:w="3312"/>
          </w:tcPr>
          <w:p>
            <w:r>
              <w:t>Hero</w:t>
            </w:r>
          </w:p>
        </w:tc>
        <w:tc>
          <w:tcPr>
            <w:tcW w:type="dxa" w:w="3312"/>
          </w:tcPr>
          <w:p>
            <w:r>
              <w:t>Deep-space 3D introduction and primary workspace CTA.</w:t>
            </w:r>
          </w:p>
        </w:tc>
      </w:tr>
      <w:tr>
        <w:tc>
          <w:tcPr>
            <w:tcW w:type="dxa" w:w="3312"/>
          </w:tcPr>
          <w:p>
            <w:r>
              <w:t>02</w:t>
            </w:r>
          </w:p>
        </w:tc>
        <w:tc>
          <w:tcPr>
            <w:tcW w:type="dxa" w:w="3312"/>
          </w:tcPr>
          <w:p>
            <w:r>
              <w:t>Metrics</w:t>
            </w:r>
          </w:p>
        </w:tc>
        <w:tc>
          <w:tcPr>
            <w:tcW w:type="dxa" w:w="3312"/>
          </w:tcPr>
          <w:p>
            <w:r>
              <w:t>High-level operating proof points.</w:t>
            </w:r>
          </w:p>
        </w:tc>
      </w:tr>
      <w:tr>
        <w:tc>
          <w:tcPr>
            <w:tcW w:type="dxa" w:w="3312"/>
          </w:tcPr>
          <w:p>
            <w:r>
              <w:t>03</w:t>
            </w:r>
          </w:p>
        </w:tc>
        <w:tc>
          <w:tcPr>
            <w:tcW w:type="dxa" w:w="3312"/>
          </w:tcPr>
          <w:p>
            <w:r>
              <w:t>About Corporate</w:t>
            </w:r>
          </w:p>
        </w:tc>
        <w:tc>
          <w:tcPr>
            <w:tcW w:type="dxa" w:w="3312"/>
          </w:tcPr>
          <w:p>
            <w:r>
              <w:t>Mission and architecture narrative.</w:t>
            </w:r>
          </w:p>
        </w:tc>
      </w:tr>
      <w:tr>
        <w:tc>
          <w:tcPr>
            <w:tcW w:type="dxa" w:w="3312"/>
          </w:tcPr>
          <w:p>
            <w:r>
              <w:t>04</w:t>
            </w:r>
          </w:p>
        </w:tc>
        <w:tc>
          <w:tcPr>
            <w:tcW w:type="dxa" w:w="3312"/>
          </w:tcPr>
          <w:p>
            <w:r>
              <w:t>Founder Mandate</w:t>
            </w:r>
          </w:p>
        </w:tc>
        <w:tc>
          <w:tcPr>
            <w:tcW w:type="dxa" w:w="3312"/>
          </w:tcPr>
          <w:p>
            <w:r>
              <w:t>Cedar Anyanwu profile and leadership direction.</w:t>
            </w:r>
          </w:p>
        </w:tc>
      </w:tr>
      <w:tr>
        <w:tc>
          <w:tcPr>
            <w:tcW w:type="dxa" w:w="3312"/>
          </w:tcPr>
          <w:p>
            <w:r>
              <w:t>05</w:t>
            </w:r>
          </w:p>
        </w:tc>
        <w:tc>
          <w:tcPr>
            <w:tcW w:type="dxa" w:w="3312"/>
          </w:tcPr>
          <w:p>
            <w:r>
              <w:t>Principles</w:t>
            </w:r>
          </w:p>
        </w:tc>
        <w:tc>
          <w:tcPr>
            <w:tcW w:type="dxa" w:w="3312"/>
          </w:tcPr>
          <w:p>
            <w:r>
              <w:t>Lean, secure, and evolvable engineering standards.</w:t>
            </w:r>
          </w:p>
        </w:tc>
      </w:tr>
      <w:tr>
        <w:tc>
          <w:tcPr>
            <w:tcW w:type="dxa" w:w="3312"/>
          </w:tcPr>
          <w:p>
            <w:r>
              <w:t>06</w:t>
            </w:r>
          </w:p>
        </w:tc>
        <w:tc>
          <w:tcPr>
            <w:tcW w:type="dxa" w:w="3312"/>
          </w:tcPr>
          <w:p>
            <w:r>
              <w:t>Executive Portfolio</w:t>
            </w:r>
          </w:p>
        </w:tc>
        <w:tc>
          <w:tcPr>
            <w:tcW w:type="dxa" w:w="3312"/>
          </w:tcPr>
          <w:p>
            <w:r>
              <w:t>Modular CMS, GIS, and creative systems.</w:t>
            </w:r>
          </w:p>
        </w:tc>
      </w:tr>
      <w:tr>
        <w:tc>
          <w:tcPr>
            <w:tcW w:type="dxa" w:w="3312"/>
          </w:tcPr>
          <w:p>
            <w:r>
              <w:t>07</w:t>
            </w:r>
          </w:p>
        </w:tc>
        <w:tc>
          <w:tcPr>
            <w:tcW w:type="dxa" w:w="3312"/>
          </w:tcPr>
          <w:p>
            <w:r>
              <w:t>Corporate Roadmap</w:t>
            </w:r>
          </w:p>
        </w:tc>
        <w:tc>
          <w:tcPr>
            <w:tcW w:type="dxa" w:w="3312"/>
          </w:tcPr>
          <w:p>
            <w:r>
              <w:t>Foundation, scale, and telemetry direction.</w:t>
            </w:r>
          </w:p>
        </w:tc>
      </w:tr>
      <w:tr>
        <w:tc>
          <w:tcPr>
            <w:tcW w:type="dxa" w:w="3312"/>
          </w:tcPr>
          <w:p>
            <w:r>
              <w:t>08</w:t>
            </w:r>
          </w:p>
        </w:tc>
        <w:tc>
          <w:tcPr>
            <w:tcW w:type="dxa" w:w="3312"/>
          </w:tcPr>
          <w:p>
            <w:r>
              <w:t>Platform Traction</w:t>
            </w:r>
          </w:p>
        </w:tc>
        <w:tc>
          <w:tcPr>
            <w:tcW w:type="dxa" w:w="3312"/>
          </w:tcPr>
          <w:p>
            <w:r>
              <w:t>Useful systems, agricultural models, and uptime targets.</w:t>
            </w:r>
          </w:p>
        </w:tc>
      </w:tr>
      <w:tr>
        <w:tc>
          <w:tcPr>
            <w:tcW w:type="dxa" w:w="3312"/>
          </w:tcPr>
          <w:p>
            <w:r>
              <w:t>09</w:t>
            </w:r>
          </w:p>
        </w:tc>
        <w:tc>
          <w:tcPr>
            <w:tcW w:type="dxa" w:w="3312"/>
          </w:tcPr>
          <w:p>
            <w:r>
              <w:t>Corporate Gallery</w:t>
            </w:r>
          </w:p>
        </w:tc>
        <w:tc>
          <w:tcPr>
            <w:tcW w:type="dxa" w:w="3312"/>
          </w:tcPr>
          <w:p>
            <w:r>
              <w:t>Existing team and technology imagery.</w:t>
            </w:r>
          </w:p>
        </w:tc>
      </w:tr>
      <w:tr>
        <w:tc>
          <w:tcPr>
            <w:tcW w:type="dxa" w:w="3312"/>
          </w:tcPr>
          <w:p>
            <w:r>
              <w:t>10</w:t>
            </w:r>
          </w:p>
        </w:tc>
        <w:tc>
          <w:tcPr>
            <w:tcW w:type="dxa" w:w="3312"/>
          </w:tcPr>
          <w:p>
            <w:r>
              <w:t>Workspace Platform</w:t>
            </w:r>
          </w:p>
        </w:tc>
        <w:tc>
          <w:tcPr>
            <w:tcW w:type="dxa" w:w="3312"/>
          </w:tcPr>
          <w:p>
            <w:r>
              <w:t>Tenant website and dashboard product overview.</w:t>
            </w:r>
          </w:p>
        </w:tc>
      </w:tr>
      <w:tr>
        <w:tc>
          <w:tcPr>
            <w:tcW w:type="dxa" w:w="3312"/>
          </w:tcPr>
          <w:p>
            <w:r>
              <w:t>11</w:t>
            </w:r>
          </w:p>
        </w:tc>
        <w:tc>
          <w:tcPr>
            <w:tcW w:type="dxa" w:w="3312"/>
          </w:tcPr>
          <w:p>
            <w:r>
              <w:t>Trusted Operations</w:t>
            </w:r>
          </w:p>
        </w:tc>
        <w:tc>
          <w:tcPr>
            <w:tcW w:type="dxa" w:w="3312"/>
          </w:tcPr>
          <w:p>
            <w:r>
              <w:t>Identity, workspace, and payment security promise.</w:t>
            </w:r>
          </w:p>
        </w:tc>
      </w:tr>
      <w:tr>
        <w:tc>
          <w:tcPr>
            <w:tcW w:type="dxa" w:w="3312"/>
          </w:tcPr>
          <w:p>
            <w:r>
              <w:t>12</w:t>
            </w:r>
          </w:p>
        </w:tc>
        <w:tc>
          <w:tcPr>
            <w:tcW w:type="dxa" w:w="3312"/>
          </w:tcPr>
          <w:p>
            <w:r>
              <w:t>Tenant Websites</w:t>
            </w:r>
          </w:p>
        </w:tc>
        <w:tc>
          <w:tcPr>
            <w:tcW w:type="dxa" w:w="3312"/>
          </w:tcPr>
          <w:p>
            <w:r>
              <w:t>Subdomain-first links through the single entry point.</w:t>
            </w:r>
          </w:p>
        </w:tc>
      </w:tr>
      <w:tr>
        <w:tc>
          <w:tcPr>
            <w:tcW w:type="dxa" w:w="3312"/>
          </w:tcPr>
          <w:p>
            <w:r>
              <w:t>13</w:t>
            </w:r>
          </w:p>
        </w:tc>
        <w:tc>
          <w:tcPr>
            <w:tcW w:type="dxa" w:w="3312"/>
          </w:tcPr>
          <w:p>
            <w:r>
              <w:t>File Manager</w:t>
            </w:r>
          </w:p>
        </w:tc>
        <w:tc>
          <w:tcPr>
            <w:tcW w:type="dxa" w:w="3312"/>
          </w:tcPr>
          <w:p>
            <w:r>
              <w:t>ZIP upload, safe extraction, copy, move, rename, and editing.</w:t>
            </w:r>
          </w:p>
        </w:tc>
      </w:tr>
      <w:tr>
        <w:tc>
          <w:tcPr>
            <w:tcW w:type="dxa" w:w="3312"/>
          </w:tcPr>
          <w:p>
            <w:r>
              <w:t>14</w:t>
            </w:r>
          </w:p>
        </w:tc>
        <w:tc>
          <w:tcPr>
            <w:tcW w:type="dxa" w:w="3312"/>
          </w:tcPr>
          <w:p>
            <w:r>
              <w:t>Visual Editor</w:t>
            </w:r>
          </w:p>
        </w:tc>
        <w:tc>
          <w:tcPr>
            <w:tcW w:type="dxa" w:w="3312"/>
          </w:tcPr>
          <w:p>
            <w:r>
              <w:t>GrapesJS workflow and selected-file editing path.</w:t>
            </w:r>
          </w:p>
        </w:tc>
      </w:tr>
      <w:tr>
        <w:tc>
          <w:tcPr>
            <w:tcW w:type="dxa" w:w="3312"/>
          </w:tcPr>
          <w:p>
            <w:r>
              <w:t>15</w:t>
            </w:r>
          </w:p>
        </w:tc>
        <w:tc>
          <w:tcPr>
            <w:tcW w:type="dxa" w:w="3312"/>
          </w:tcPr>
          <w:p>
            <w:r>
              <w:t>Plans</w:t>
            </w:r>
          </w:p>
        </w:tc>
        <w:tc>
          <w:tcPr>
            <w:tcW w:type="dxa" w:w="3312"/>
          </w:tcPr>
          <w:p>
            <w:r>
              <w:t>Starter, Business, and Enterprise entry points.</w:t>
            </w:r>
          </w:p>
        </w:tc>
      </w:tr>
      <w:tr>
        <w:tc>
          <w:tcPr>
            <w:tcW w:type="dxa" w:w="3312"/>
          </w:tcPr>
          <w:p>
            <w:r>
              <w:t>16</w:t>
            </w:r>
          </w:p>
        </w:tc>
        <w:tc>
          <w:tcPr>
            <w:tcW w:type="dxa" w:w="3312"/>
          </w:tcPr>
          <w:p>
            <w:r>
              <w:t>Flutterwave Upgrades</w:t>
            </w:r>
          </w:p>
        </w:tc>
        <w:tc>
          <w:tcPr>
            <w:tcW w:type="dxa" w:w="3312"/>
          </w:tcPr>
          <w:p>
            <w:r>
              <w:t>Initialize, pay, verify, and activate sequence.</w:t>
            </w:r>
          </w:p>
        </w:tc>
      </w:tr>
      <w:tr>
        <w:tc>
          <w:tcPr>
            <w:tcW w:type="dxa" w:w="3312"/>
          </w:tcPr>
          <w:p>
            <w:r>
              <w:t>17</w:t>
            </w:r>
          </w:p>
        </w:tc>
        <w:tc>
          <w:tcPr>
            <w:tcW w:type="dxa" w:w="3312"/>
          </w:tcPr>
          <w:p>
            <w:r>
              <w:t>Profiles</w:t>
            </w:r>
          </w:p>
        </w:tc>
        <w:tc>
          <w:tcPr>
            <w:tcW w:type="dxa" w:w="3312"/>
          </w:tcPr>
          <w:p>
            <w:r>
              <w:t>User and administrator identity controls.</w:t>
            </w:r>
          </w:p>
        </w:tc>
      </w:tr>
      <w:tr>
        <w:tc>
          <w:tcPr>
            <w:tcW w:type="dxa" w:w="3312"/>
          </w:tcPr>
          <w:p>
            <w:r>
              <w:t>18</w:t>
            </w:r>
          </w:p>
        </w:tc>
        <w:tc>
          <w:tcPr>
            <w:tcW w:type="dxa" w:w="3312"/>
          </w:tcPr>
          <w:p>
            <w:r>
              <w:t>Company Story</w:t>
            </w:r>
          </w:p>
        </w:tc>
        <w:tc>
          <w:tcPr>
            <w:tcW w:type="dxa" w:w="3312"/>
          </w:tcPr>
          <w:p>
            <w:r>
              <w:t>Links to preserved About, Cedar, Portfolio, and Gallery pages.</w:t>
            </w:r>
          </w:p>
        </w:tc>
      </w:tr>
      <w:tr>
        <w:tc>
          <w:tcPr>
            <w:tcW w:type="dxa" w:w="3312"/>
          </w:tcPr>
          <w:p>
            <w:r>
              <w:t>19</w:t>
            </w:r>
          </w:p>
        </w:tc>
        <w:tc>
          <w:tcPr>
            <w:tcW w:type="dxa" w:w="3312"/>
          </w:tcPr>
          <w:p>
            <w:r>
              <w:t>Questions</w:t>
            </w:r>
          </w:p>
        </w:tc>
        <w:tc>
          <w:tcPr>
            <w:tcW w:type="dxa" w:w="3312"/>
          </w:tcPr>
          <w:p>
            <w:r>
              <w:t>Onboarding and payment FAQ.</w:t>
            </w:r>
          </w:p>
        </w:tc>
      </w:tr>
      <w:tr>
        <w:tc>
          <w:tcPr>
            <w:tcW w:type="dxa" w:w="3312"/>
          </w:tcPr>
          <w:p>
            <w:r>
              <w:t>20</w:t>
            </w:r>
          </w:p>
        </w:tc>
        <w:tc>
          <w:tcPr>
            <w:tcW w:type="dxa" w:w="3312"/>
          </w:tcPr>
          <w:p>
            <w:r>
              <w:t>Contact</w:t>
            </w:r>
          </w:p>
        </w:tc>
        <w:tc>
          <w:tcPr>
            <w:tcW w:type="dxa" w:w="3312"/>
          </w:tcPr>
          <w:p>
            <w:r>
              <w:t>Direct support and partnership contact.</w:t>
            </w:r>
          </w:p>
        </w:tc>
      </w:tr>
      <w:tr>
        <w:tc>
          <w:tcPr>
            <w:tcW w:type="dxa" w:w="3312"/>
          </w:tcPr>
          <w:p>
            <w:r>
              <w:t>21</w:t>
            </w:r>
          </w:p>
        </w:tc>
        <w:tc>
          <w:tcPr>
            <w:tcW w:type="dxa" w:w="3312"/>
          </w:tcPr>
          <w:p>
            <w:r>
              <w:t>Enterprise Direction</w:t>
            </w:r>
          </w:p>
        </w:tc>
        <w:tc>
          <w:tcPr>
            <w:tcW w:type="dxa" w:w="3312"/>
          </w:tcPr>
          <w:p>
            <w:r>
              <w:t>Custom infrastructure and partnership CTA.</w:t>
            </w:r>
          </w:p>
        </w:tc>
      </w:tr>
      <w:tr>
        <w:tc>
          <w:tcPr>
            <w:tcW w:type="dxa" w:w="3312"/>
          </w:tcPr>
          <w:p>
            <w:r>
              <w:t>22</w:t>
            </w:r>
          </w:p>
        </w:tc>
        <w:tc>
          <w:tcPr>
            <w:tcW w:type="dxa" w:w="3312"/>
          </w:tcPr>
          <w:p>
            <w:r>
              <w:t>Final CTA</w:t>
            </w:r>
          </w:p>
        </w:tc>
        <w:tc>
          <w:tcPr>
            <w:tcW w:type="dxa" w:w="3312"/>
          </w:tcPr>
          <w:p>
            <w:r>
              <w:t>Workspace registration and secure-access conversion.</w:t>
            </w:r>
          </w:p>
        </w:tc>
      </w:tr>
      <w:tr>
        <w:tc>
          <w:tcPr>
            <w:tcW w:type="dxa" w:w="3312"/>
          </w:tcPr>
          <w:p>
            <w:r>
              <w:t>23</w:t>
            </w:r>
          </w:p>
        </w:tc>
        <w:tc>
          <w:tcPr>
            <w:tcW w:type="dxa" w:w="3312"/>
          </w:tcPr>
          <w:p>
            <w:r>
              <w:t>Public Navigation</w:t>
            </w:r>
          </w:p>
        </w:tc>
        <w:tc>
          <w:tcPr>
            <w:tcW w:type="dxa" w:w="3312"/>
          </w:tcPr>
          <w:p>
            <w:r>
              <w:t>Explicit public route index before the footer.</w:t>
            </w:r>
          </w:p>
        </w:tc>
      </w:tr>
    </w:tbl>
    <w:p>
      <w:pPr>
        <w:pStyle w:val="Heading2"/>
      </w:pPr>
      <w:r>
        <w:t>Secure-page Rebuild Rules</w:t>
      </w:r>
    </w:p>
    <w:p>
      <w:r>
        <w:t>Admin and tenant pages now receive the shared deep-space secure presentation layer through nx-secure.css. The layer changes color, surface, typography contrast, responsive navigation, cards, forms, tables, modals, and editor shells only. Existing IDs, names, selectors, DataTables targets, Uppy mounts, GrapesJS hooks, AJAX payloads, and endpoint URLs must not be renamed without a corresponding contract migration.</w:t>
      </w:r>
    </w:p>
    <w:p>
      <w:pPr>
        <w:pStyle w:val="Heading2"/>
      </w:pPr>
      <w:r>
        <w:t>Commenting Standard</w:t>
      </w:r>
    </w:p>
    <w:p>
      <w:r>
        <w:t>Every rebuilt PHP template begins with a responsibility comment. Public sections use numbered comments that describe their narrative purpose. Secure presentation layers explicitly state that they are presentation-only. Backend service comments explain security boundaries, input validation, filesystem scope, and external payment verification. Future changes should preserve these comments and add a short explanation whenever a route, form contract, or integration boundary is touched.</w:t>
      </w:r>
    </w:p>
    <w:p>
      <w:pPr>
        <w:pStyle w:val="Heading2"/>
      </w:pPr>
      <w:r>
        <w:t>Production Deployment Checklist</w:t>
      </w:r>
    </w:p>
    <w:p>
      <w:pPr>
        <w:pStyle w:val="ListBullet"/>
      </w:pPr>
      <w:r>
        <w:t>Copy the release archive to a clean production directory and configure the Apache document root for the project entry point.</w:t>
      </w:r>
    </w:p>
    <w:p>
      <w:pPr>
        <w:pStyle w:val="ListBullet"/>
      </w:pPr>
      <w:r>
        <w:t>Create the environment file from the deployment template and provide Flutterwave keys privately; never commit secrets or expose them in public PHP templates.</w:t>
      </w:r>
    </w:p>
    <w:p>
      <w:pPr>
        <w:pStyle w:val="ListBullet"/>
      </w:pPr>
      <w:r>
        <w:t>Ensure the web user can write only to the intended JSON, upload, cache, and tenant workspace directories.</w:t>
      </w:r>
    </w:p>
    <w:p>
      <w:pPr>
        <w:pStyle w:val="ListBullet"/>
      </w:pPr>
      <w:r>
        <w:t>Keep .htaccess protections enabled for backend, configuration, storage, backup, and private test paths.</w:t>
      </w:r>
    </w:p>
    <w:p>
      <w:pPr>
        <w:pStyle w:val="ListBullet"/>
      </w:pPr>
      <w:r>
        <w:t>Verify the HTTPS certificate, trusted host/subdomain configuration, PHP version, and upload size limits before enabling tenant creation.</w:t>
      </w:r>
    </w:p>
    <w:p>
      <w:pPr>
        <w:pStyle w:val="ListBullet"/>
      </w:pPr>
      <w:r>
        <w:t>Run public route checks, authentication checks, role checks, file manager checks, ZIP traversal checks, and a Flutterwave test transaction before accepting live payments.</w:t>
      </w:r>
    </w:p>
    <w:p>
      <w:pPr>
        <w:pStyle w:val="Heading2"/>
      </w:pPr>
      <w:r>
        <w:t>Validation Record for This Rebuild</w:t>
      </w:r>
    </w:p>
    <w:p>
      <w:r>
        <w:t>The rebuilt homepage is PHP-lint clean, contains a literal 23-section public structure, uses the existing NodeXGo logo and Cedar profile image, keeps the generated deep-space artwork in the public visual system, preserves /login and /register links, and extends the shared secure stylesheet without modifying backend business logic. The final release archive excludes private environment files, databases, uploads, logs, backups, and test fixtures.</w:t>
      </w:r>
    </w:p>
    <w:p>
      <w:pPr>
        <w:pStyle w:val="Heading1"/>
      </w:pPr>
      <w:r>
        <w:t>Mandatory Modular Architecture — August 2026</w:t>
      </w:r>
    </w:p>
    <w:p>
      <w:r>
        <w:t>The attached architecture requirements make modularity a release requirement. The platform is being migrated through compatibility adapters so the existing single-entry router, public routes, secure routes, sessions, APIs, form identifiers, tenant routing, file operations, GrapesJS hooks, and Flutterwave verification behavior remain stable while implementation ownership becomes easier to maintain.</w:t>
      </w:r>
    </w:p>
    <w:p>
      <w:pPr>
        <w:pStyle w:val="Heading2"/>
      </w:pPr>
      <w:r>
        <w:t>Module boundaries</w:t>
      </w:r>
    </w:p>
    <w:p>
      <w:pPr>
        <w:pStyle w:val="ListBullet"/>
      </w:pPr>
      <w:r>
        <w:t>core/ contains reusable infrastructure for configuration, authorization, JSON storage, JSON responses, validation, security, filesystem, hosting, billing, backups, logging, and notifications.</w:t>
      </w:r>
    </w:p>
    <w:p>
      <w:pPr>
        <w:pStyle w:val="ListBullet"/>
      </w:pPr>
      <w:r>
        <w:t>components/ contains shared visual pieces such as headers, sidebars, topbars, footers, cards, tables, modals, alerts, pagination, forms, and loaders.</w:t>
      </w:r>
    </w:p>
    <w:p>
      <w:pPr>
        <w:pStyle w:val="ListBullet"/>
      </w:pPr>
      <w:r>
        <w:t>modules/user/ and modules/admin/ contain feature-owned controllers, views, scripts, and module documentation.</w:t>
      </w:r>
    </w:p>
    <w:p>
      <w:pPr>
        <w:pStyle w:val="ListBullet"/>
      </w:pPr>
      <w:r>
        <w:t>api/ remains separate from page rendering and returns consistent JSON payloads wherever a new endpoint is introduced.</w:t>
      </w:r>
    </w:p>
    <w:p>
      <w:pPr>
        <w:pStyle w:val="ListBullet"/>
      </w:pPr>
      <w:r>
        <w:t>assets/js/ and assets/css/ are divided into core, user, admin, component, and responsive ownership areas.</w:t>
      </w:r>
    </w:p>
    <w:p>
      <w:pPr>
        <w:pStyle w:val="ListBullet"/>
      </w:pPr>
      <w:r>
        <w:t>security/python/ is reserved for independently testable scanning, signatures, analysis, quarantine, reports, and security logging modules.</w:t>
      </w:r>
    </w:p>
    <w:p>
      <w:pPr>
        <w:pStyle w:val="Heading2"/>
      </w:pPr>
      <w:r>
        <w:t>First extraction: Manage Files</w:t>
      </w:r>
    </w:p>
    <w:p>
      <w:r>
        <w:t>The legacy main/public/user/tabs/manage-files.php file is now a thin compatibility adapter. The modular view is owned by modules/user/file-manager/view.php, with a module-scoped JavaScript lifecycle bridge and a README describing the boundary. Existing DOM IDs, AJAX handlers, file operation APIs, ZIP extraction protections, code editor behavior, and GrapesJS container hooks remain unchanged. Desktop layout uses an explicit three-column grid: workspace tools, file tree, and right-hand editor canvas. A narrow-screen fallback stacks the file tree above the editor only when side-by-side space is insufficient.</w:t>
      </w:r>
    </w:p>
    <w:p>
      <w:pPr>
        <w:pStyle w:val="Heading2"/>
      </w:pPr>
      <w:r>
        <w:t>Shared core facades</w:t>
      </w:r>
    </w:p>
    <w:p>
      <w:r>
        <w:t>core/JsonStorage/JsonStorage.php delegates to the existing locked Database engine rather than duplicating JSON storage logic. core/Response/JsonResponse.php standardizes new API responses as success, message, and data. core/Authorization/AuthorizationGateway.php delegates to the existing secure session, admin permission, and tenant ownership checks. These facades are migration seams, not replacements for proven business logic.</w:t>
      </w:r>
    </w:p>
    <w:p>
      <w:pPr>
        <w:pStyle w:val="Heading2"/>
      </w:pPr>
      <w:r>
        <w:t>Maintenance rule</w:t>
      </w:r>
    </w:p>
    <w:p>
      <w:r>
        <w:t>A page should assemble components and call services. It must not contain database logic, payment processing, filesystem authorization, security logic, CSS, and all JavaScript in one monolithic file. Each extraction is linted and smoke-tested independently. Compatibility adapters remain until the replacement is verified, and no module may silently duplicate business logic from another module.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