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C3-S: related work and defensible claims</w:t>
      </w:r>
    </w:p>
    <w:p>
      <w:pPr>
        <w:pStyle w:val="Subtitle"/>
      </w:pPr>
      <w:r>
        <w:t>Literature review for the LEO handover paper and confirmatory-plan discussion</w:t>
      </w:r>
    </w:p>
    <w:p>
      <w:pPr>
        <w:pStyle w:val="ReportMetadata"/>
      </w:pPr>
      <w:r>
        <w:t>8 September 2026 · Primary literature and supplied project evidence · English report</w:t>
      </w:r>
    </w:p>
    <w:p>
      <w:r>
        <w:rPr>
          <w:b/>
        </w:rPr>
        <w:t>C3-S is defensibly positioned as a centralized, model-based configuration selector over learned per-user proposals.</w:t>
      </w:r>
      <w:r>
        <w:t xml:space="preserve"> Its architectural ingredients have substantial precedent. The distinctive research question is whether changing the action interface can recover useful performance that the tested additive credit signals failed to deliver. The supplied evidence supports that possibility at matched one-step anchors; it does not yet establish a closed-loop benefit, robustness to an imperfect nominal model, or a third learned-head contribution.</w:t>
      </w:r>
    </w:p>
    <w:p>
      <w:r>
        <w:t xml:space="preserve">Scope: read </w:t>
      </w:r>
      <w:r>
        <w:rPr>
          <w:rFonts w:ascii="Consolas" w:hAnsi="Consolas"/>
          <w:sz w:val="18"/>
        </w:rPr>
        <w:t>00-README.md</w:t>
      </w:r>
      <w:r>
        <w:t xml:space="preserve">, </w:t>
      </w:r>
      <w:r>
        <w:rPr>
          <w:rFonts w:ascii="Consolas" w:hAnsi="Consolas"/>
          <w:sz w:val="18"/>
        </w:rPr>
        <w:t>01-C3S-CONTRACT-WITH-ADDENDUM-A.md</w:t>
      </w:r>
      <w:r>
        <w:t xml:space="preserve"> and </w:t>
      </w:r>
      <w:r>
        <w:rPr>
          <w:rFonts w:ascii="Consolas" w:hAnsi="Consolas"/>
          <w:sz w:val="18"/>
        </w:rPr>
        <w:t>04-S0-PROBE-RESULT.md</w:t>
      </w:r>
      <w:r>
        <w:t xml:space="preserve"> first, then the remaining relevant records. Project facts below come from the supplied r3 archive, not the literature. No simulator, training, TEST access or package modification was performed. All registered numerical quantities and decision rules are left unchanged. Most references are from 2018–2026; preprints and incomplete full-text access are identified.</w:t>
      </w:r>
    </w:p>
    <w:p>
      <w:pPr>
        <w:pStyle w:val="Heading1"/>
      </w:pPr>
      <w:r>
        <w:t>1. Where C3-S fits in prior work</w:t>
      </w:r>
    </w:p>
    <w:p>
      <w:r>
        <w:rPr>
          <w:b/>
        </w:rPr>
        <w:t>The closest propose–evaluate–select precedent is DROO.</w:t>
      </w:r>
      <w:r>
        <w:t xml:space="preserve"> Huang, Bi and Zhang’s </w:t>
      </w:r>
      <w:r>
        <w:rPr>
          <w:i/>
        </w:rPr>
        <w:t>Deep Reinforcement Learning for Online Computation Offloading in Wireless Powered Mobile-Edge Computing Networks</w:t>
      </w:r>
      <w:r>
        <w:t xml:space="preserve"> (IEEE TMC, 2020) maps observed channels to a relaxed joint offloading proposal, quantizes it into K complete binary configurations, solves model-based convex resource allocation for each, and selects the best resulting computation rate. It reports over 99.5% of a near-optimal benchmark’s computation rate and 0.059 s execution versus 0.81 s for linear relaxation at 30 users. It assumes current channel gains are observed and remain constant within a frame. This closely precedes C3-S’s learned proposal plus physical selection, but uses one centralized proposal network, instantaneous fading knowledge and a computation-rate objective. These numbers are not EE gains over greedy LEO association. </w:t>
      </w:r>
      <w:hyperlink r:id="rId11">
        <w:r>
          <w:rPr>
            <w:color w:val="23649A"/>
            <w:u w:val="single"/>
          </w:rPr>
          <w:t>DROO, §§III–V</w:t>
        </w:r>
      </w:hyperlink>
      <w:r>
        <w:t>.</w:t>
      </w:r>
    </w:p>
    <w:p>
      <w:r>
        <w:rPr>
          <w:b/>
        </w:rPr>
        <w:t>Satellite learning plus optimization is also established.</w:t>
      </w:r>
      <w:r>
        <w:t xml:space="preserve"> Lei et al., </w:t>
      </w:r>
      <w:r>
        <w:rPr>
          <w:i/>
        </w:rPr>
        <w:t>Beam Illumination Pattern Design in Satellite Networks: Learning and Optimization for Efficient Beam Hopping</w:t>
      </w:r>
      <w:r>
        <w:t xml:space="preserve"> (IEEE Access 8, 2020), use learning to identify promising beam patterns and optimization to enforce feasibility and improve the solution. The authors report approximately 5% distance from the optimum and a reduction from seconds/minutes to milliseconds. This is a multibeam satellite antecedent, not an RL coordinator over per-user heads; it should not be relabelled LEO evidence. The institutional abstract was verified, but detailed CSI assumptions could not be checked in the full text. </w:t>
      </w:r>
      <w:hyperlink r:id="rId12">
        <w:r>
          <w:rPr>
            <w:color w:val="23649A"/>
            <w:u w:val="single"/>
          </w:rPr>
          <w:t>Lei et al., institutional record</w:t>
        </w:r>
      </w:hyperlink>
      <w:r>
        <w:t>.</w:t>
      </w:r>
    </w:p>
    <w:p>
      <w:r>
        <w:rPr>
          <w:b/>
        </w:rPr>
        <w:t>A recent satellite hybrid explicitly separates learned association from exact power allocation.</w:t>
      </w:r>
      <w:r>
        <w:t xml:space="preserve"> Afif et al., </w:t>
      </w:r>
      <w:r>
        <w:rPr>
          <w:i/>
        </w:rPr>
        <w:t>Multi-Agent Reinforcement Learning for Joint Handover Management and Power Allocation in Multi-Orbit Satellite Networks</w:t>
      </w:r>
      <w:r>
        <w:t xml:space="preserve"> (arXiv preprint, August 2026), use per-user MAPPO/TarMAC association policies followed by a convex power solver for the fixed joint association. Inputs include current candidate SNRs, association/dwell/rate information and inter-agent messages; geometry is TLE-based. Across 40 frozen-policy evaluation episodes, it reports 92% of greedy-SNR throughput with more than fourfold fewer handovers, and approximately 14% higher throughput than a stay heuristic. The optimizer does not revise associations. This is an explicit throughput–handover tradeoff, not a throughput win over greedy or an EE result. </w:t>
      </w:r>
      <w:hyperlink r:id="rId13">
        <w:r>
          <w:rPr>
            <w:color w:val="23649A"/>
            <w:u w:val="single"/>
          </w:rPr>
          <w:t>Afif et al., §§III–IV</w:t>
        </w:r>
      </w:hyperlink>
      <w:r>
        <w:t>.</w:t>
      </w:r>
    </w:p>
    <w:p>
      <w:r>
        <w:rPr>
          <w:b/>
        </w:rPr>
        <w:t>A learned configuration scorer is another established option in the taxonomy.</w:t>
      </w:r>
      <w:r>
        <w:t xml:space="preserve"> Ye and Zhang’s </w:t>
      </w:r>
      <w:r>
        <w:rPr>
          <w:i/>
        </w:rPr>
        <w:t>DRAG: Deep Reinforcement Learning Based Base Station Activation in Heterogeneous Networks</w:t>
      </w:r>
      <w:r>
        <w:t xml:space="preserve"> (IEEE TMC, 2020) refines a proto-action over neighboring complete base-station activation vectors using learned cost/Q estimates. Traffic predictions, prior activation, switching cost and delay enter the formulation. This terrestrial example is relevant to complete-configuration prediction and consolidation, but differs from C3-S’s explicit nominal physics and frozen deployment layer. Its composite cost is not pooled delivered bits per electrical joule. </w:t>
      </w:r>
      <w:hyperlink r:id="rId14">
        <w:r>
          <w:rPr>
            <w:color w:val="23649A"/>
            <w:u w:val="single"/>
          </w:rPr>
          <w:t>DRAG, §§III–IV</w:t>
        </w:r>
      </w:hyperlink>
      <w:r>
        <w:t>.</w:t>
      </w:r>
    </w:p>
    <w:p>
      <w:r>
        <w:rPr>
          <w:b/>
        </w:rPr>
        <w:t>Coordination graphs address the decoding problem directly.</w:t>
      </w:r>
      <w:r>
        <w:t xml:space="preserve"> Böhmer, Kurin and Whiteson’s </w:t>
      </w:r>
      <w:r>
        <w:rPr>
          <w:i/>
        </w:rPr>
        <w:t>Deep Coordination Graphs</w:t>
      </w:r>
      <w:r>
        <w:t xml:space="preserve"> (ICML, 2020) combine learned unary utilities with pairwise joint-action payoffs and use max-plus messages to select actions. The paper explicitly discusses the cost of unnecessarily imposing independent execution; convergence guarantees for message passing require an acyclic graph. C3-S instead evaluates complete configurations without assuming that physical interactions factor exactly into pairs. Beam activation thresholds and beam-wise maxima can involve more than two users, so DCG supplies a conceptual precedent, not an exact factorization theorem for this simulator. </w:t>
      </w:r>
      <w:hyperlink r:id="rId15">
        <w:r>
          <w:rPr>
            <w:color w:val="23649A"/>
            <w:u w:val="single"/>
          </w:rPr>
          <w:t>DCG, §§2–3 and 5</w:t>
        </w:r>
      </w:hyperlink>
      <w:r>
        <w:t>.</w:t>
      </w:r>
    </w:p>
    <w:p>
      <w:r>
        <w:rPr>
          <w:b/>
        </w:rPr>
        <w:t>Centralized execution must be named plainly.</w:t>
      </w:r>
      <w:r>
        <w:t xml:space="preserve"> In QMIX, centralized training imposes a monotonic relationship between local utilities and a learned joint value, enabling independent greedy execution. C3-S’s final action instead depends on global configuration evaluation at deployment. Its Q-head training arrangements do not make that execution decentralized. “Hierarchical” can describe the two decision layers, but does not establish hierarchical RL with options or temporal abstraction. </w:t>
      </w:r>
      <w:hyperlink r:id="rId16">
        <w:r>
          <w:rPr>
            <w:color w:val="23649A"/>
            <w:u w:val="single"/>
          </w:rPr>
          <w:t>Rashid et al., QMIX, ICML 2018</w:t>
        </w:r>
      </w:hyperlink>
      <w:r>
        <w:t xml:space="preserve">; project </w:t>
      </w:r>
      <w:r>
        <w:rPr>
          <w:rFonts w:ascii="Consolas" w:hAnsi="Consolas"/>
          <w:sz w:val="18"/>
        </w:rPr>
        <w:t>01</w:t>
      </w:r>
      <w:r>
        <w:t>, §§1–3.</w:t>
      </w:r>
    </w:p>
    <w:p>
      <w:r>
        <w:rPr>
          <w:b/>
        </w:rPr>
        <w:t>Shielding and MPC are analogies with stronger conditions.</w:t>
      </w:r>
      <w:r>
        <w:t xml:space="preserve"> Alshiekh et al.’s </w:t>
      </w:r>
      <w:r>
        <w:rPr>
          <w:i/>
        </w:rPr>
        <w:t>Safe Reinforcement Learning via Shielding</w:t>
      </w:r>
      <w:r>
        <w:t xml:space="preserve"> (AAAI, 2018) corrects actions using a synthesized temporal-logic shield. Wabersich and Zeilinger’s </w:t>
      </w:r>
      <w:r>
        <w:rPr>
          <w:i/>
        </w:rPr>
        <w:t>A Predictive Safety Filter for Learning-Based Control of Constrained Nonlinear Dynamical Systems</w:t>
      </w:r>
      <w:r>
        <w:t xml:space="preserve"> (Automatica, 2021) uses a predictive model and uncertainty treatment to certify or modify proposed inputs. C3-S evaluates the current slot and applies a nominal served-count guard; it has neither a supplied temporal-safety proof nor a multi-step coordinator rollout. “Nominal service guard” and “model-based selector” are accurate. “Provably safe shield” and unqualified “MPC” are not supported by the frozen definition. </w:t>
      </w:r>
      <w:hyperlink r:id="rId17">
        <w:r>
          <w:rPr>
            <w:color w:val="23649A"/>
            <w:u w:val="single"/>
          </w:rPr>
          <w:t>Shielding</w:t>
        </w:r>
      </w:hyperlink>
      <w:r>
        <w:t xml:space="preserve">; </w:t>
      </w:r>
      <w:hyperlink r:id="rId18">
        <w:r>
          <w:rPr>
            <w:color w:val="23649A"/>
            <w:u w:val="single"/>
          </w:rPr>
          <w:t>predictive safety filter</w:t>
        </w:r>
      </w:hyperlink>
      <w:r>
        <w:t>.</w:t>
      </w:r>
    </w:p>
    <w:p>
      <w:r>
        <w:t>The reviewed sources provide no matched numerical estimate of the EE gain from this exact architecture over per-user greedy LEO association. Their results support architectural relevance; the different objectives and baselines must remain visible.</w:t>
      </w:r>
    </w:p>
    <w:p>
      <w:pPr>
        <w:pStyle w:val="Heading1"/>
      </w:pPr>
      <w:r>
        <w:t>2. LEO beam scheduling and the energy mechanism</w:t>
      </w:r>
    </w:p>
    <w:p>
      <w:r>
        <w:rPr>
          <w:b/>
        </w:rPr>
        <w:t>Joint association, power and beam activation already have direct LEO prior art.</w:t>
      </w:r>
      <w:r>
        <w:t xml:space="preserve"> Duan et al., </w:t>
      </w:r>
      <w:r>
        <w:rPr>
          <w:i/>
        </w:rPr>
        <w:t>Joint User Association and Dynamic Beam Operation for High Latitude Muti-beam LEO Satellites</w:t>
      </w:r>
      <w:r>
        <w:t xml:space="preserve"> (APCC, 2021; title spelling retained), couple user association, beam ON/OFF and power allocation with QoS and handover cost, using a two-level optimization. It is particularly relevant to redundant high-latitude coverage. The indexed original abstract supports this scope; full-text numerical gains and detailed CSI assumptions were not independently available. Cite it for problem structure, not a claimed savings percentage. </w:t>
      </w:r>
      <w:hyperlink r:id="rId19">
        <w:r>
          <w:rPr>
            <w:color w:val="23649A"/>
            <w:u w:val="single"/>
          </w:rPr>
          <w:t>Duan et al.</w:t>
        </w:r>
      </w:hyperlink>
      <w:r>
        <w:t>.</w:t>
      </w:r>
    </w:p>
    <w:p>
      <w:r>
        <w:rPr>
          <w:b/>
        </w:rPr>
        <w:t>Hierarchical load-aware LEO RL has different endpoints.</w:t>
      </w:r>
      <w:r>
        <w:t xml:space="preserve"> Zhao et al., </w:t>
      </w:r>
      <w:r>
        <w:rPr>
          <w:i/>
        </w:rPr>
        <w:t>Demand-Aware Beam Hopping and Power Allocation for Load Balancing in Digital Twin empowered LEO Satellite Networks</w:t>
      </w:r>
      <w:r>
        <w:t xml:space="preserve"> (2024 author preprint), use a cloud/digital-twin layer for beam hopping and a satellite layer for power allocation. Global requests, resource use and queue backlogs are available; arrivals have TTL queues, and the link model assumes clear sky and compensated Doppler. Section V-C2 reports an 82.13 Mbps load gap, 75.95% below Greedy BH. The abstract gives a less-specific 72.5% figure; use the body’s explicitly identified comparison. This is load-balancing evidence, not pooled EE or savings from whole-beam evacuation. </w:t>
      </w:r>
      <w:hyperlink r:id="rId20">
        <w:r>
          <w:rPr>
            <w:color w:val="23649A"/>
            <w:u w:val="single"/>
          </w:rPr>
          <w:t>Zhao et al., §§III–V</w:t>
        </w:r>
      </w:hyperlink>
      <w:r>
        <w:t>.</w:t>
      </w:r>
    </w:p>
    <w:p>
      <w:r>
        <w:rPr>
          <w:b/>
        </w:rPr>
        <w:t>There is direct quantitative LEO power-saving evidence, but its conditions matter.</w:t>
      </w:r>
      <w:r>
        <w:t xml:space="preserve"> Fastenbauer et al., </w:t>
      </w:r>
      <w:r>
        <w:rPr>
          <w:i/>
        </w:rPr>
        <w:t>LEO Satellite Beam Hopping for Power Consumption Minimization at Different Elevation Angles</w:t>
      </w:r>
      <w:r>
        <w:t xml:space="preserve"> (IEEE OJCOMS 6, 2025), report 3.23 kW versus 32.1 kW for greedy hopping versus full illumination at 90° elevation, with 19 beams and 25 users demanding 10 Mbit/s each: approximately 90% lower modeled power. Their accounting includes PA supply, RF/phase-shifter costs and always-on fixed consumption; MMSE precoding assumes perfect CSI. This is low-utilization temporal beam hopping, not measured spacecraft savings or atomic user evacuation. In a separate seven-beam timing case, greedy takes 14.2 ms versus 230 s exhaustive search, yet the target hopping cycle is 10 ms; the authors explicitly acknowledge further speed work is needed. </w:t>
      </w:r>
      <w:hyperlink r:id="rId21">
        <w:r>
          <w:rPr>
            <w:color w:val="23649A"/>
            <w:u w:val="single"/>
          </w:rPr>
          <w:t>Fastenbauer et al., Eq. 28, Figs. 15 and 18, §VI</w:t>
        </w:r>
      </w:hyperlink>
      <w:r>
        <w:t>.</w:t>
      </w:r>
    </w:p>
    <w:p>
      <w:r>
        <w:rPr>
          <w:b/>
        </w:rPr>
        <w:t>Switch-off counts are not energy percentages.</w:t>
      </w:r>
      <w:r>
        <w:t xml:space="preserve"> Gupta et al., </w:t>
      </w:r>
      <w:r>
        <w:rPr>
          <w:i/>
        </w:rPr>
        <w:t>Energy Efficient LEO Satellite Communications: Traffic-Aware Payload Switch-Off Techniques</w:t>
      </w:r>
      <w:r>
        <w:t xml:space="preserve"> (Computer Communications 236, 2025), provide a direct payload-sleeping precedent. The indexed primary text’s approximately 43% refers to satellite nodes switched off, not a verified 43% reduction in joules. Likewise, Liu et al.’s </w:t>
      </w:r>
      <w:r>
        <w:rPr>
          <w:i/>
        </w:rPr>
        <w:t>A Dynamic Beam Shut Off Algorithm for LEO Multibeam Satellite Constellation Network</w:t>
      </w:r>
      <w:r>
        <w:t xml:space="preserve"> (IEEE WCL, 2020) minimizes active beams while preserving coverage; its reported beam-resource reduction must not be called total-energy saving. Full-text details were inaccessible in this review, so these are qualitative supporting references. </w:t>
      </w:r>
      <w:hyperlink r:id="rId22">
        <w:r>
          <w:rPr>
            <w:color w:val="23649A"/>
            <w:u w:val="single"/>
          </w:rPr>
          <w:t>Gupta et al.</w:t>
        </w:r>
      </w:hyperlink>
      <w:r>
        <w:t xml:space="preserve">; </w:t>
      </w:r>
      <w:hyperlink r:id="rId23">
        <w:r>
          <w:rPr>
            <w:color w:val="23649A"/>
            <w:u w:val="single"/>
          </w:rPr>
          <w:t>Liu et al.</w:t>
        </w:r>
      </w:hyperlink>
      <w:r>
        <w:t>.</w:t>
      </w:r>
    </w:p>
    <w:p>
      <w:r>
        <w:t xml:space="preserve">For C3-S, the physical rationale is more specific than “balancing load saves energy.” The supplied </w:t>
      </w:r>
      <w:r>
        <w:rPr>
          <w:rFonts w:ascii="Consolas" w:hAnsi="Consolas"/>
          <w:sz w:val="18"/>
        </w:rPr>
        <w:t>11-step-energy-model-excerpt.py</w:t>
      </w:r>
      <w:r>
        <w:t xml:space="preserve"> describes beam RF power as the maximum over served users, bandwidth sharing, interference, PA supply and activation-dependent costs. </w:t>
      </w:r>
      <w:r>
        <w:rPr>
          <w:rFonts w:ascii="Consolas" w:hAnsi="Consolas"/>
          <w:sz w:val="18"/>
        </w:rPr>
        <w:t>08-GLOBAL-VIEW-ASTRA.md</w:t>
      </w:r>
      <w:r>
        <w:t>, points 2–3, reports an angle-driven power recurrence rather than distance/target-SINR power inversion, plus 0.338 W per active beam and 0.200 W per active satellite baseband. Its cited F1 fixture assigns approximately 94.8% of modeled power to PA supply. Those are supplied derived-record claims; the archive does not include the full referenced power implementation or fixture for independent recomputation.</w:t>
      </w:r>
    </w:p>
    <w:p>
      <w:r>
        <w:t>Evacuating a beam can therefore eliminate PA supply as well as circuitry; moving a power-leading user can reduce a maximum; moving users can also increase destination costs or lose bits through sharing/interference. These effects require evaluating the whole configuration. Literature supports activation-sensitive accounting, but does not validate this package’s exact power law, parameter values, or attribution of its observed gain.</w:t>
      </w:r>
    </w:p>
    <w:p>
      <w:r>
        <w:rPr>
          <w:rFonts w:ascii="Consolas" w:hAnsi="Consolas"/>
          <w:sz w:val="18"/>
        </w:rPr>
        <w:t>06-E1-RESULT-RECORD.md</w:t>
      </w:r>
      <w:r>
        <w:t xml:space="preserve"> reports realised-information pooled oracle gains of 1.992311% for U₁ (at most one changed user per anchor) and 2.222094% for J₁ (the fixed evacuation catalog). These are restricted finite-panel optima, not unrestricted joint or trajectory ceilings. S0-U already improves EE by 1.523026%, versus 1.812631% for S0; S0-J includes singleton origins under </w:t>
      </w:r>
      <w:r>
        <w:rPr>
          <w:rFonts w:ascii="Consolas" w:hAnsi="Consolas"/>
          <w:sz w:val="18"/>
        </w:rPr>
        <w:t>01</w:t>
      </w:r>
      <w:r>
        <w:t>, §3. Thus, neither the entire gain nor the S0-J gain identifies uniquely multi-user evacuation. No verified source in this bounded review quantifies precisely C3-S-style whole-origin evacuation above frozen learned heads; that is an evidence gap, not proof of novelty.</w:t>
      </w:r>
    </w:p>
    <w:p>
      <w:pPr>
        <w:pStyle w:val="Heading1"/>
      </w:pPr>
      <w:r>
        <w:t>3. Nominal channels, imperfect models and the 0.91 correlation</w:t>
      </w:r>
    </w:p>
    <w:p>
      <w:r>
        <w:rPr>
          <w:b/>
        </w:rPr>
        <w:t>Using non-instantaneous channel knowledge is standard; its meaning must be explicit.</w:t>
      </w:r>
      <w:r>
        <w:t xml:space="preserve"> You et al., </w:t>
      </w:r>
      <w:r>
        <w:rPr>
          <w:i/>
        </w:rPr>
        <w:t>Massive MIMO Transmission for LEO Satellite Communications</w:t>
      </w:r>
      <w:r>
        <w:t xml:space="preserve"> (IEEE JSAC 38, 2020), motivate statistical CSI because instantaneous CSI is difficult to acquire under propagation delay and mobility. Their precoding and angle-based grouping exploit slow channel statistics, with similar performance to instantaneous-CSI counterparts in the studied setting. The statistical formulation retains a fading distribution and average channel power. It does not establish that deterministic no-fading scoring equals an expected-rate calculation. </w:t>
      </w:r>
      <w:hyperlink r:id="rId24">
        <w:r>
          <w:rPr>
            <w:color w:val="23649A"/>
            <w:u w:val="single"/>
          </w:rPr>
          <w:t>You et al., §§II–V</w:t>
        </w:r>
      </w:hyperlink>
      <w:r>
        <w:t>.</w:t>
      </w:r>
    </w:p>
    <w:p>
      <w:r>
        <w:t xml:space="preserve">3GPP TR 38.811 V15.3.0, §6.6.2, models shadow fading as zero-mean Gaussian in dB, and §6.7 separately addresses fast fading. Setting shadowing to 0 dB gives its central dB value and unit median multiplicative factor. Setting a normalized Rician gain to one suppresses variability; it is not generally the median of the Rician amplitude or power distribution. Nor does evaluating a nonlinear rate, service threshold or beam maximum at nominal inputs yield its expectation. The package’s phrase “OPS-3 median/no-fading convention” should be presented as a named simulator convention, not an undifferentiated statistical-median channel model. </w:t>
      </w:r>
      <w:hyperlink r:id="rId25">
        <w:r>
          <w:rPr>
            <w:color w:val="23649A"/>
            <w:u w:val="single"/>
          </w:rPr>
          <w:t>3GPP TR 38.811, §§6.6–6.7</w:t>
        </w:r>
      </w:hyperlink>
      <w:r>
        <w:t>.</w:t>
      </w:r>
    </w:p>
    <w:p>
      <w:r>
        <w:rPr>
          <w:b/>
        </w:rPr>
        <w:t>Three information assumptions should be separated in the paper:</w:t>
      </w:r>
      <w:r>
        <w:t xml:space="preserve"> current geometry/committed state availability; nominal model structure and parameter knowledge; and unavailable instantaneous fading. C3-S excludes the last, but assumes the first two through the simulator’s own evaluator (</w:t>
      </w:r>
      <w:r>
        <w:rPr>
          <w:rFonts w:ascii="Consolas" w:hAnsi="Consolas"/>
          <w:sz w:val="18"/>
        </w:rPr>
        <w:t>01</w:t>
      </w:r>
      <w:r>
        <w:t>, §2). This is implementable in principle by a centralized controller with synchronized telemetry and a calibrated model. The experiment nevertheless gives it exact nominal-model knowledge within the constructed simulator. “No realised-channel leakage” is defensible; “no simulator privilege” or “field-deployable information established” is too strong.</w:t>
      </w:r>
    </w:p>
    <w:p>
      <w:r>
        <w:rPr>
          <w:b/>
        </w:rPr>
        <w:t>Imperfect-CSI papers evaluate downstream consequences, not prediction correlation alone.</w:t>
      </w:r>
      <w:r>
        <w:t xml:space="preserve"> Ying et al., </w:t>
      </w:r>
      <w:r>
        <w:rPr>
          <w:i/>
        </w:rPr>
        <w:t>Deep Learning-based Joint Channel Prediction and Multibeam Precoding for LEO Satellite Internet of Things</w:t>
      </w:r>
      <w:r>
        <w:t xml:space="preserve"> (2024 author manuscript), combine historical-CSI prediction with error-augmented robust precoding. Their evaluation reports prediction error, achieved weighted sum rate, perfect/estimated-CSI comparisons, actual outage versus its constraint and runtime as system dimensions vary. Omid et al., </w:t>
      </w:r>
      <w:r>
        <w:rPr>
          <w:i/>
        </w:rPr>
        <w:t>Reinforcement Learning-Based Downlink Transmit Precoding for Mitigating the Impact of Delayed CSI in Satellite Systems</w:t>
      </w:r>
      <w:r>
        <w:t xml:space="preserve"> (2024 preprint), examine delayed versus current CSI and explicitly vary pilot timing/observation delay. These illustrate how CSI age and estimation error are connected to realised service or rate; their robustness is conditional on their own error models. </w:t>
      </w:r>
      <w:hyperlink r:id="rId26">
        <w:r>
          <w:rPr>
            <w:color w:val="23649A"/>
            <w:u w:val="single"/>
          </w:rPr>
          <w:t>Ying et al., §V</w:t>
        </w:r>
      </w:hyperlink>
      <w:r>
        <w:t xml:space="preserve">; </w:t>
      </w:r>
      <w:hyperlink r:id="rId27">
        <w:r>
          <w:rPr>
            <w:color w:val="23649A"/>
            <w:u w:val="single"/>
          </w:rPr>
          <w:t>Omid et al., §V</w:t>
        </w:r>
      </w:hyperlink>
      <w:r>
        <w:t>.</w:t>
      </w:r>
    </w:p>
    <w:p>
      <w:r>
        <w:t xml:space="preserve">The appropriate interpretation of S0 is consequently narrow. </w:t>
      </w:r>
      <w:r>
        <w:rPr>
          <w:rFonts w:ascii="Consolas" w:hAnsi="Consolas"/>
          <w:sz w:val="18"/>
        </w:rPr>
        <w:t>04-S0-PROBE-RESULT.md</w:t>
      </w:r>
      <w:r>
        <w:t>, “Information-gap diagnostic,” reports per-anchor Spearman mean 0.910408, median 0.922043 and range 0.687133–0.984614 over 120 anchors. Selection used nominal values; reported EE used realised tape rows. This demonstrates useful candidate-ranking agreement under the simulator’s nominal-to-fading discrepancy on those anchors. It is not 91% decision accuracy, a 9% performance gap, an EE guarantee, or a robustness test against wrong PA parameters, stale occupancy, geometry error or calibration bias.</w:t>
      </w:r>
    </w:p>
    <w:p>
      <w:r>
        <w:t>The same file reports S0 agreement with U₁ and J₁ of only 1.667% and 29.167%. High whole-catalog rank correlation can coexist with errors at the top. Near ties could explain low agreement, but are not established by correlation. Furthermore, the oracle and S0 have different selection objectives/feasibility treatments and restricted catalogs. “Different but near-optimal configurations” is therefore an interpretation, not a certified conclusion. The directly observed fact is the realised one-step pooled gain with unchanged aggregate served count.</w:t>
      </w:r>
    </w:p>
    <w:p>
      <w:pPr>
        <w:pStyle w:val="Heading1"/>
      </w:pPr>
      <w:r>
        <w:t>4. Evaluation and deployability wording</w:t>
      </w:r>
    </w:p>
    <w:p>
      <w:r>
        <w:rPr>
          <w:b/>
        </w:rPr>
        <w:t>One-step and closed-loop evaluations estimate different effects.</w:t>
      </w:r>
      <w:r>
        <w:t xml:space="preserve"> E1/S0 compare alternatives at states reached by BASE. This isolates immediate physical changes under a shared background; it does not evaluate the state distribution the coordinator itself induces. </w:t>
      </w:r>
      <w:r>
        <w:rPr>
          <w:rFonts w:ascii="Consolas" w:hAnsi="Consolas"/>
          <w:sz w:val="18"/>
        </w:rPr>
        <w:t>01</w:t>
      </w:r>
      <w:r>
        <w:t>, §4 and Addendum A-B, correctly let each arm advance independently from a matched start. Changed dwell, tracking, occupancy and future proposals are then part of the policy effect, not confounds to remove by resetting the coordinator onto BASE. Remaining limits are the finite horizon, initial-state distribution, reused learned lineages and possible mismatch of the simulator to deployment.</w:t>
      </w:r>
    </w:p>
    <w:p>
      <w:r>
        <w:t xml:space="preserve">The screen contains four fresh worlds crossed with three inherited lineages and three arms, giving 36 episodes. It does not contain 12 independent world clusters. The confirmatory draft </w:t>
      </w:r>
      <w:r>
        <w:rPr>
          <w:rFonts w:ascii="Consolas" w:hAnsi="Consolas"/>
          <w:sz w:val="18"/>
        </w:rPr>
        <w:t>03-FULL2-CONFIRMATORY-PLAN-DRAFT.md</w:t>
      </w:r>
      <w:r>
        <w:t>, §§1–3, changes both the proposal policy to FULL2 and the episode horizon to 10 steps (300.8 s), versus the screen’s 30 steps (902.4 s). Its new matched FULL2 control is essential. More short episodes improve sampling of that short-horizon estimand; they do not confirm persistence over a longer horizon. The draft already acknowledges this limitation and should retain it.</w:t>
      </w:r>
    </w:p>
    <w:p>
      <w:r>
        <w:rPr>
          <w:b/>
        </w:rPr>
        <w:t>Matched seeds require matched exogenous events.</w:t>
      </w:r>
      <w:r>
        <w:t xml:space="preserve"> Shared initial states and keyed fading can implement common-random-number comparisons while allowing endogenous trajectories to diverge. Merely giving arms the same sequential RNG seed is insufficient if their actions change the order or number of draws. Event identity, time and physical link should preserve the intended shared randomness; arm identifiers must not secretly select different weather/fading fields. L’Ecuyer et al. discuss streams, substreams and counter-based generators for reproducible parallel simulation. This supports the purpose of the package’s keyed-field and immutable-matching rules, without auditing their absent implementation. </w:t>
      </w:r>
      <w:hyperlink r:id="rId28">
        <w:r>
          <w:rPr>
            <w:color w:val="23649A"/>
            <w:u w:val="single"/>
          </w:rPr>
          <w:t>Multiple Streams with Recurrence-Based, Counter-Based, and Splittable Random Number Generators, WSC 2021</w:t>
        </w:r>
      </w:hyperlink>
      <w:r>
        <w:t>.</w:t>
      </w:r>
    </w:p>
    <w:p>
      <w:r>
        <w:t xml:space="preserve">Patterson et al.’s </w:t>
      </w:r>
      <w:r>
        <w:rPr>
          <w:i/>
        </w:rPr>
        <w:t>Empirical Design in Reinforcement Learning</w:t>
      </w:r>
      <w:r>
        <w:t xml:space="preserve"> (JMLR, 2024) emphasizes performance variation, statistical assumptions and experimenter bias. Applied here, the registered sign-and-service disposition should be described as a deterministic finite-panel criterion, not a significance test. The strict EE inequality supplies no minimum practically important effect or population confidence level. Descriptive uncertainty, if included under the sealed analysis, must respect world clustering and remain separate from the unchanged disposition. The 100/500/1500 rungs are descriptive; only the complete 3000-episode panel decides the draft’s outcome. </w:t>
      </w:r>
      <w:hyperlink r:id="rId29">
        <w:r>
          <w:rPr>
            <w:color w:val="23649A"/>
            <w:u w:val="single"/>
          </w:rPr>
          <w:t>Patterson et al.</w:t>
        </w:r>
      </w:hyperlink>
      <w:r>
        <w:t xml:space="preserve">; </w:t>
      </w:r>
      <w:r>
        <w:rPr>
          <w:rFonts w:ascii="Consolas" w:hAnsi="Consolas"/>
          <w:sz w:val="18"/>
        </w:rPr>
        <w:t>03</w:t>
      </w:r>
      <w:r>
        <w:t>, §§3–4.</w:t>
      </w:r>
    </w:p>
    <w:p>
      <w:r>
        <w:rPr>
          <w:b/>
        </w:rPr>
        <w:t>Pooled EE is the right accounting for the stated objective.</w:t>
      </w:r>
      <w:r>
        <w:t xml:space="preserve"> Define B and E by summing committed delivered bits and modeled electrical joules across the complete matched panel, then compute η = B/E. This differs from averaging user or episode ratios; equivalently, it weights each episode’s EE by its energy. Publish B, E and served opportunities beside the ratio so a gain’s numerator/denominator tradeoff remains visible. Shen and Yu’s </w:t>
      </w:r>
      <w:r>
        <w:rPr>
          <w:i/>
        </w:rPr>
        <w:t>Fractional Programming for Communication Systems—Part I: Power Control and Beamforming</w:t>
      </w:r>
      <w:r>
        <w:t xml:space="preserve"> (IEEE TSP, 2018) explicitly formulates overall EE as total rate divided by total power and reviews the iterative Dinkelbach transform. </w:t>
      </w:r>
      <w:hyperlink r:id="rId30">
        <w:r>
          <w:rPr>
            <w:color w:val="23649A"/>
            <w:u w:val="single"/>
          </w:rPr>
          <w:t>Shen and Yu, §§I–II</w:t>
        </w:r>
      </w:hyperlink>
      <w:r>
        <w:t>.</w:t>
      </w:r>
    </w:p>
    <w:p>
      <w:r>
        <w:t>For positive total energy, the exact comparison identity is:</w:t>
      </w:r>
    </w:p>
    <w:p>
      <w:r>
        <w:t>η_A &gt; η_B  ⇔  (B_A − B_B) − η_B(E_A − E_B) &gt; 0.</w:t>
      </w:r>
    </w:p>
    <w:p>
      <w:r>
        <w:t>This algebra uses the comparator’s realised pooled η_B. C3-S instead uses one frozen historical η_ref and nominal current-slot values. Including BASE guarantees a nonnegative improvement in that nominal priced score, but does not guarantee a higher realised ratio or a better trajectory. It is a fixed-price surrogate, not a completed Dinkelbach optimization. This is particularly relevant when transferring unchanged η_ref to FULL2 (</w:t>
      </w:r>
      <w:r>
        <w:rPr>
          <w:rFonts w:ascii="Consolas" w:hAnsi="Consolas"/>
          <w:sz w:val="18"/>
        </w:rPr>
        <w:t>03</w:t>
      </w:r>
      <w:r>
        <w:t>, §2); it is a limitation to disclose, not a reason to alter the registered price.</w:t>
      </w:r>
    </w:p>
    <w:p>
      <w:r>
        <w:rPr>
          <w:b/>
        </w:rPr>
        <w:t>Service terminology must match the endpoint.</w:t>
      </w:r>
      <w:r>
        <w:t xml:space="preserve"> The guard protects nominal served count; the panel permits at most the registered 0.001 absolute served-fraction loss. Neither protects every individual, minimum throughput, demand satisfaction, delay or fairness. Aggregate unchanged service can conceal which users lose service. For comparison, Chen et al.’s </w:t>
      </w:r>
      <w:r>
        <w:rPr>
          <w:i/>
        </w:rPr>
        <w:t>Energy-Efficient Joint Handover and Beam Switching Scheme for Multi-LEO Networks</w:t>
      </w:r>
      <w:r>
        <w:t xml:space="preserve"> (VTC Spring, 2024) uses historical SINR/beam feedback and accounts for beam-training time, but its EE denominator is summed transmit power. Its “latency” concerns signaling/training overhead. These quantities must not be conflated with C3-S’s electrical-energy denominator or selector CPU time. </w:t>
      </w:r>
      <w:hyperlink r:id="rId31">
        <w:r>
          <w:rPr>
            <w:color w:val="23649A"/>
            <w:u w:val="single"/>
          </w:rPr>
          <w:t>Chen et al., Eqs. 9 and 13</w:t>
        </w:r>
      </w:hyperlink>
      <w:r>
        <w:t>.</w:t>
      </w:r>
    </w:p>
    <w:p>
      <w:r>
        <w:rPr>
          <w:b/>
        </w:rPr>
        <w:t>The deployment clock is a real constraint even when latency is not a gate.</w:t>
      </w:r>
      <w:r>
        <w:t xml:space="preserve"> </w:t>
      </w:r>
      <w:r>
        <w:rPr>
          <w:rFonts w:ascii="Consolas" w:hAnsi="Consolas"/>
          <w:sz w:val="18"/>
        </w:rPr>
        <w:t>01</w:t>
      </w:r>
      <w:r>
        <w:t>, §6 and Addendum A-D, already require Q inference, enumeration, model evaluation and total wall time, with mean/median/p95/max, catalog counts and peak RSS. Interpret those alongside hardware, precision, parallelism and telemetry/commit overhead. Approximately 100 s per decision is only a planning estimate, but would exceed the 30.08 s interval if measured on the intended sequential controller. More workers across simulation episodes increase throughput, not the speed of one live decision. Lite’s expected tenfold saving is likewise unmeasured in this archive. A positive EE result may coexist with an implementation that misses the control deadline; the registered outcome can remain unchanged while deployability is reported separately.</w:t>
      </w:r>
    </w:p>
    <w:p>
      <w:pPr>
        <w:pStyle w:val="Heading1"/>
      </w:pPr>
      <w:r>
        <w:t>5. Credit assignment, contested claims and paper positioning</w:t>
      </w:r>
    </w:p>
    <w:p>
      <w:r>
        <w:rPr>
          <w:b/>
        </w:rPr>
        <w:t>Difference rewards do not promise the missing implication.</w:t>
      </w:r>
      <w:r>
        <w:t xml:space="preserve"> In COMA’s discussion, D_i(a_i,a_−i) = G(a_i,a_−i) − G(c_i,a_−i) preserves unilateral reward ordering when others’ actions are fixed, because the subtracted baseline does not depend on a_i. COMA then uses an action-marginalized counterfactual baseline in a policy gradient, with zero expected baseline contribution. It does not add a supervised externality score to frozen Q1/Q2 and simultaneously execute independently chosen maximizers. </w:t>
      </w:r>
      <w:hyperlink r:id="rId32">
        <w:r>
          <w:rPr>
            <w:color w:val="23649A"/>
            <w:u w:val="single"/>
          </w:rPr>
          <w:t>Foerster et al., Counterfactual Multi-Agent Policy Gradients, AAAI 2018, §4</w:t>
        </w:r>
      </w:hyperlink>
      <w:r>
        <w:t>.</w:t>
      </w:r>
    </w:p>
    <w:p>
      <w:r>
        <w:t xml:space="preserve">A simple illustrative joint payoff makes the distinction explicit: G(00)=0, G(10)=1, G(01)=1, G(11)=−1. Both unilateral moves improve a fixed 00 background, yet making both moves is harmful. This is an explanatory example, not project data. The historical MONE sign reversals in </w:t>
      </w:r>
      <w:r>
        <w:rPr>
          <w:rFonts w:ascii="Consolas" w:hAnsi="Consolas"/>
          <w:sz w:val="18"/>
        </w:rPr>
        <w:t>09-CHRONOLOGY-REGIME-A.md</w:t>
      </w:r>
      <w:r>
        <w:t>, §1 row 3, are compatible with precisely this failure mode. Accurate conditional counterfactuals do not automatically compose.</w:t>
      </w:r>
    </w:p>
    <w:p>
      <w:r>
        <w:t xml:space="preserve">Castellini et al., </w:t>
      </w:r>
      <w:r>
        <w:rPr>
          <w:i/>
        </w:rPr>
        <w:t>Difference Rewards Policy Gradients</w:t>
      </w:r>
      <w:r>
        <w:t xml:space="preserve"> (AAMAS 2021 extended abstract), explicitly distinguish a known joint reward model from a learned reward model while training decentralized policies. This is useful precedent for separating model accuracy from policy performance and declaring model access. It is not the package’s fixed additive decoder. </w:t>
      </w:r>
      <w:hyperlink r:id="rId33">
        <w:r>
          <w:rPr>
            <w:color w:val="23649A"/>
            <w:u w:val="single"/>
          </w:rPr>
          <w:t>Castellini et al.</w:t>
        </w:r>
      </w:hyperlink>
      <w:r>
        <w:t>.</w:t>
      </w:r>
    </w:p>
    <w:p>
      <w:r>
        <w:t xml:space="preserve">QMIX and Son et al.’s </w:t>
      </w:r>
      <w:r>
        <w:rPr>
          <w:i/>
        </w:rPr>
        <w:t>QTRAN: Learning to Factorize with Transformation for Cooperative Multi-Agent Reinforcement Learning</w:t>
      </w:r>
      <w:r>
        <w:t xml:space="preserve"> (ICML, 2019) make compatibility between individual and joint maximization a design issue; QTRAN relaxes restrictive value-factorization conditions. These works contest any general impossibility claim. They factor across agents, whereas Catfish sums channels within each user’s score: use the local/joint consistency principle as an analogy, not a theorem directly diagnosing Q1+Q2+Q3. Likewise, LC-SRS’s shares summing to a chosen coalition surplus do not guarantee that the independent decoder actually implements that coalition. </w:t>
      </w:r>
      <w:hyperlink r:id="rId34">
        <w:r>
          <w:rPr>
            <w:color w:val="23649A"/>
            <w:u w:val="single"/>
          </w:rPr>
          <w:t>QTRAN</w:t>
        </w:r>
      </w:hyperlink>
      <w:r>
        <w:t xml:space="preserve">; </w:t>
      </w:r>
      <w:r>
        <w:rPr>
          <w:rFonts w:ascii="Consolas" w:hAnsi="Consolas"/>
          <w:sz w:val="18"/>
        </w:rPr>
        <w:t>09</w:t>
      </w:r>
      <w:r>
        <w:t>, §1 rows 16–17.</w:t>
      </w:r>
    </w:p>
    <w:p>
      <w:r>
        <w:t xml:space="preserve">The latest </w:t>
      </w:r>
      <w:r>
        <w:rPr>
          <w:rFonts w:ascii="Consolas" w:hAnsi="Consolas"/>
          <w:sz w:val="18"/>
        </w:rPr>
        <w:t>05-ORACLE-MARGINALS-RESULT.md</w:t>
      </w:r>
      <w:r>
        <w:t xml:space="preserve"> specifically tests exact others’ delivered-bit externality through the frozen additive composition and finds its C3 marginal nonpositive across G0–G3. This narrows a learning-versus-composition diagnosis for that target; it does not oracle-test every historical family. Furthermore, C3-S changes information access, scoring, candidate construction and service enforcement along with joint decoding. The comparisons do not isolate the decoder change as the sole cause of improvement.</w:t>
      </w:r>
    </w:p>
    <w:p>
      <w:r>
        <w:t>The files warrant the following precise claim boundaries:</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9E0E7"/>
          <w:left w:val="single" w:sz="4" w:color="D9E0E7"/>
          <w:bottom w:val="single" w:sz="4" w:color="D9E0E7"/>
          <w:right w:val="single" w:sz="4" w:color="D9E0E7"/>
          <w:insideH w:val="single" w:sz="4" w:color="D9E0E7"/>
          <w:insideV w:val="single" w:sz="4" w:color="D9E0E7"/>
        </w:tblBorders>
      </w:tblPr>
      <w:tblGrid>
        <w:gridCol w:w="4320"/>
        <w:gridCol w:w="5040"/>
      </w:tblGrid>
      <w:tr>
        <w:trPr>
          <w:cantSplit/>
          <w:tblHeader/>
        </w:trPr>
        <w:tc>
          <w:tcPr>
            <w:tcW w:type="dxa" w:w="4320"/>
            <w:vAlign w:val="center"/>
            <w:shd w:fill="F2F4F7"/>
          </w:tcPr>
          <w:p>
            <w:pPr>
              <w:pStyle w:val="ReportTable"/>
            </w:pPr>
            <w:r>
              <w:rPr>
                <w:b/>
              </w:rPr>
              <w:t>File claim or possible reading</w:t>
            </w:r>
          </w:p>
        </w:tc>
        <w:tc>
          <w:tcPr>
            <w:tcW w:type="dxa" w:w="5040"/>
            <w:vAlign w:val="center"/>
            <w:shd w:fill="F2F4F7"/>
          </w:tcPr>
          <w:p>
            <w:pPr>
              <w:pStyle w:val="ReportTable"/>
            </w:pPr>
            <w:r>
              <w:rPr>
                <w:b/>
              </w:rPr>
              <w:t>Defensible wording or limitation</w:t>
            </w:r>
          </w:p>
        </w:tc>
      </w:tr>
      <w:tr>
        <w:trPr>
          <w:cantSplit/>
        </w:trPr>
        <w:tc>
          <w:tcPr>
            <w:tcW w:type="dxa" w:w="4320"/>
            <w:vAlign w:val="center"/>
          </w:tcPr>
          <w:p>
            <w:pPr>
              <w:pStyle w:val="ReportTable"/>
            </w:pPr>
            <w:r>
              <w:rPr>
                <w:rFonts w:ascii="Consolas" w:hAnsi="Consolas"/>
                <w:sz w:val="18"/>
              </w:rPr>
              <w:t>00</w:t>
            </w:r>
            <w:r>
              <w:t xml:space="preserve">; </w:t>
            </w:r>
            <w:r>
              <w:rPr>
                <w:rFonts w:ascii="Consolas" w:hAnsi="Consolas"/>
                <w:sz w:val="18"/>
              </w:rPr>
              <w:t>01</w:t>
            </w:r>
            <w:r>
              <w:t>, §2: “only deployable information”</w:t>
            </w:r>
          </w:p>
        </w:tc>
        <w:tc>
          <w:tcPr>
            <w:tcW w:type="dxa" w:w="5040"/>
            <w:vAlign w:val="center"/>
          </w:tcPr>
          <w:p>
            <w:pPr>
              <w:pStyle w:val="ReportTable"/>
            </w:pPr>
            <w:r>
              <w:t>Excludes realised fading, conditional on exact nominal-model knowledge and current global state. Field calibration and telemetry are untested.</w:t>
            </w:r>
          </w:p>
        </w:tc>
      </w:tr>
      <w:tr>
        <w:trPr>
          <w:cantSplit/>
        </w:trPr>
        <w:tc>
          <w:tcPr>
            <w:tcW w:type="dxa" w:w="4320"/>
            <w:vAlign w:val="center"/>
          </w:tcPr>
          <w:p>
            <w:pPr>
              <w:pStyle w:val="ReportTable"/>
            </w:pPr>
            <w:r>
              <w:rPr>
                <w:rFonts w:ascii="Consolas" w:hAnsi="Consolas"/>
                <w:sz w:val="18"/>
              </w:rPr>
              <w:t>01</w:t>
            </w:r>
            <w:r>
              <w:t>, §1: “closed at the oracle level”</w:t>
            </w:r>
          </w:p>
        </w:tc>
        <w:tc>
          <w:tcPr>
            <w:tcW w:type="dxa" w:w="5040"/>
            <w:vAlign w:val="center"/>
          </w:tcPr>
          <w:p>
            <w:pPr>
              <w:pStyle w:val="ReportTable"/>
            </w:pPr>
            <w:r>
              <w:t>Closure of the named targets, scales, composition and tested regimes; not all additive encodings or credit-assignment methods.</w:t>
            </w:r>
          </w:p>
        </w:tc>
      </w:tr>
      <w:tr>
        <w:trPr>
          <w:cantSplit/>
        </w:trPr>
        <w:tc>
          <w:tcPr>
            <w:tcW w:type="dxa" w:w="4320"/>
            <w:vAlign w:val="center"/>
          </w:tcPr>
          <w:p>
            <w:pPr>
              <w:pStyle w:val="ReportTable"/>
            </w:pPr>
            <w:r>
              <w:rPr>
                <w:rFonts w:ascii="Consolas" w:hAnsi="Consolas"/>
                <w:sz w:val="18"/>
              </w:rPr>
              <w:t>09</w:t>
            </w:r>
            <w:r>
              <w:t>, introduction and §1: “18 failed attempts”</w:t>
            </w:r>
          </w:p>
        </w:tc>
        <w:tc>
          <w:tcPr>
            <w:tcW w:type="dxa" w:w="5040"/>
            <w:vAlign w:val="center"/>
          </w:tcPr>
          <w:p>
            <w:pPr>
              <w:pStyle w:val="ReportTable"/>
            </w:pPr>
            <w:r>
              <w:t>Eighteen logged entries across eight families, ending without deployable additive-third-head admission. Entries include positive intermediate gates, unresolved claims and instrument stops; the introduction’s “seventeen” is stale.</w:t>
            </w:r>
          </w:p>
        </w:tc>
      </w:tr>
      <w:tr>
        <w:trPr>
          <w:cantSplit/>
        </w:trPr>
        <w:tc>
          <w:tcPr>
            <w:tcW w:type="dxa" w:w="4320"/>
            <w:vAlign w:val="center"/>
          </w:tcPr>
          <w:p>
            <w:pPr>
              <w:pStyle w:val="ReportTable"/>
            </w:pPr>
            <w:r>
              <w:rPr>
                <w:rFonts w:ascii="Consolas" w:hAnsi="Consolas"/>
                <w:sz w:val="18"/>
              </w:rPr>
              <w:t>04</w:t>
            </w:r>
            <w:r>
              <w:t xml:space="preserve">; </w:t>
            </w:r>
            <w:r>
              <w:rPr>
                <w:rFonts w:ascii="Consolas" w:hAnsi="Consolas"/>
                <w:sz w:val="18"/>
              </w:rPr>
              <w:t>01</w:t>
            </w:r>
            <w:r>
              <w:t>, §1: a coordinator “can convert headroom”</w:t>
            </w:r>
          </w:p>
        </w:tc>
        <w:tc>
          <w:tcPr>
            <w:tcW w:type="dxa" w:w="5040"/>
            <w:vAlign w:val="center"/>
          </w:tcPr>
          <w:p>
            <w:pPr>
              <w:pStyle w:val="ReportTable"/>
            </w:pPr>
            <w:r>
              <w:t>Demonstrated at matched one-step development anchors only; no closed-loop C3-S result is supplied.</w:t>
            </w:r>
          </w:p>
        </w:tc>
      </w:tr>
      <w:tr>
        <w:trPr>
          <w:cantSplit/>
        </w:trPr>
        <w:tc>
          <w:tcPr>
            <w:tcW w:type="dxa" w:w="4320"/>
            <w:vAlign w:val="center"/>
          </w:tcPr>
          <w:p>
            <w:pPr>
              <w:pStyle w:val="ReportTable"/>
            </w:pPr>
            <w:r>
              <w:rPr>
                <w:rFonts w:ascii="Consolas" w:hAnsi="Consolas"/>
                <w:sz w:val="18"/>
              </w:rPr>
              <w:t>04</w:t>
            </w:r>
            <w:r>
              <w:t>/</w:t>
            </w:r>
            <w:r>
              <w:rPr>
                <w:rFonts w:ascii="Consolas" w:hAnsi="Consolas"/>
                <w:sz w:val="18"/>
              </w:rPr>
              <w:t>06</w:t>
            </w:r>
            <w:r>
              <w:t>: gain proves uniquely joint coordination</w:t>
            </w:r>
          </w:p>
        </w:tc>
        <w:tc>
          <w:tcPr>
            <w:tcW w:type="dxa" w:w="5040"/>
            <w:vAlign w:val="center"/>
          </w:tcPr>
          <w:p>
            <w:pPr>
              <w:pStyle w:val="ReportTable"/>
            </w:pPr>
            <w:r>
              <w:t>E1 has unilateral headroom; S0-U is positive; evacuation includes singletons; exact O1 exposes residual BASE error.</w:t>
            </w:r>
          </w:p>
        </w:tc>
      </w:tr>
      <w:tr>
        <w:trPr>
          <w:cantSplit/>
        </w:trPr>
        <w:tc>
          <w:tcPr>
            <w:tcW w:type="dxa" w:w="4320"/>
            <w:vAlign w:val="center"/>
          </w:tcPr>
          <w:p>
            <w:pPr>
              <w:pStyle w:val="ReportTable"/>
            </w:pPr>
            <w:r>
              <w:rPr>
                <w:rFonts w:ascii="Consolas" w:hAnsi="Consolas"/>
                <w:sz w:val="18"/>
              </w:rPr>
              <w:t>01</w:t>
            </w:r>
            <w:r>
              <w:t>, §1: rankings imply near-optimal choices</w:t>
            </w:r>
          </w:p>
        </w:tc>
        <w:tc>
          <w:tcPr>
            <w:tcW w:type="dxa" w:w="5040"/>
            <w:vAlign w:val="center"/>
          </w:tcPr>
          <w:p>
            <w:pPr>
              <w:pStyle w:val="ReportTable"/>
            </w:pPr>
            <w:r>
              <w:t>Useful rank agreement and realised improvement are observed; near-optimality is not certified by Spearman or choice agreement.</w:t>
            </w:r>
          </w:p>
        </w:tc>
      </w:tr>
      <w:tr>
        <w:trPr>
          <w:cantSplit/>
        </w:trPr>
        <w:tc>
          <w:tcPr>
            <w:tcW w:type="dxa" w:w="4320"/>
            <w:vAlign w:val="center"/>
          </w:tcPr>
          <w:p>
            <w:pPr>
              <w:pStyle w:val="ReportTable"/>
            </w:pPr>
            <w:r>
              <w:rPr>
                <w:rFonts w:ascii="Consolas" w:hAnsi="Consolas"/>
                <w:sz w:val="18"/>
              </w:rPr>
              <w:t>01</w:t>
            </w:r>
            <w:r>
              <w:t>, §§1, 7: a third Catfish contribution</w:t>
            </w:r>
          </w:p>
        </w:tc>
        <w:tc>
          <w:tcPr>
            <w:tcW w:type="dxa" w:w="5040"/>
            <w:vAlign w:val="center"/>
          </w:tcPr>
          <w:p>
            <w:pPr>
              <w:pStyle w:val="ReportTable"/>
            </w:pPr>
            <w:r>
              <w:t>A new deployed model-based mechanism, with two learned heads. It does not preserve the original third learned Q-head/training-only mechanism.</w:t>
            </w:r>
          </w:p>
        </w:tc>
      </w:tr>
      <w:tr>
        <w:trPr>
          <w:cantSplit/>
        </w:trPr>
        <w:tc>
          <w:tcPr>
            <w:tcW w:type="dxa" w:w="4320"/>
            <w:vAlign w:val="center"/>
          </w:tcPr>
          <w:p>
            <w:pPr>
              <w:pStyle w:val="ReportTable"/>
            </w:pPr>
            <w:r>
              <w:rPr>
                <w:rFonts w:ascii="Consolas" w:hAnsi="Consolas"/>
                <w:sz w:val="18"/>
              </w:rPr>
              <w:t>03</w:t>
            </w:r>
            <w:r>
              <w:t>, §§3, 6: confirmatory support</w:t>
            </w:r>
          </w:p>
        </w:tc>
        <w:tc>
          <w:tcPr>
            <w:tcW w:type="dxa" w:w="5040"/>
            <w:vAlign w:val="center"/>
          </w:tcPr>
          <w:p>
            <w:pPr>
              <w:pStyle w:val="ReportTable"/>
            </w:pPr>
            <w:r>
              <w:t>Fresh-TRAIN development-panel confirmation for frozen FULL2 and 10-step episodes, conditional on the selected screen configuration; no TEST efficacy or automatic three-contribution conclusion.</w:t>
            </w:r>
          </w:p>
        </w:tc>
      </w:tr>
    </w:tbl>
    <w:p>
      <w:pPr>
        <w:spacing w:after="0"/>
      </w:pPr>
    </w:p>
    <w:p>
      <w:r>
        <w:rPr>
          <w:b/>
        </w:rPr>
        <w:t>Suggested related-work wording:</w:t>
      </w:r>
      <w:r>
        <w:t xml:space="preserve"> “C3-S combines learned per-user proposals with centralized model-based configuration selection, following the broad learning-plus-optimization pattern exemplified by DROO and satellite beam-pattern optimization. Its action catalog explicitly includes single-user edits and whole-origin evacuations, and each candidate is evaluated as a complete physical configuration before atomic execution. The contribution concerns this interface and its evaluation under the stated energy accounting, rather than the general invention of hybrid learning and optimization.”</w:t>
      </w:r>
    </w:p>
    <w:p>
      <w:r>
        <w:rPr>
          <w:b/>
        </w:rPr>
        <w:t>Suggested discussion wording:</w:t>
      </w:r>
      <w:r>
        <w:t xml:space="preserve"> “Across the tested target families and frozen additive deployment rules, accurate or exact counterfactual signals did not consistently produce beneficial joint execution. This result concerns the tested credit-to-action interface and does not refute difference-reward policy gradients or establish an impossibility of decentralized coordination. On matched development anchors, nominal-model configuration selection increased realised pooled EE by 1.812631% with unchanged aggregate served fraction. These findings motivate the declared closed-loop evaluation; sustained benefit and unique attribution to beam evacuation remain unestablished.”</w:t>
      </w:r>
    </w:p>
    <w:p>
      <w:r>
        <w:rPr>
          <w:b/>
        </w:rPr>
        <w:t>Suggested model-assumption wording:</w:t>
      </w:r>
      <w:r>
        <w:t xml:space="preserve"> “The coordinator uses current geometry and committed global state and assumes the simulator’s nominal link-budget and power laws are known. Selection excludes realised fading and uses unit Rician gain and zero-dB shadowing. The reported rank correlation characterizes this nominal-versus-realised discrepancy within the simulator; robustness to model-parameter error, telemetry delay and field calibration is not established.”</w:t>
      </w:r>
    </w:p>
    <w:p>
      <w:r>
        <w:rPr>
          <w:b/>
        </w:rPr>
        <w:t>Suggested confirmatory wording:</w:t>
      </w:r>
      <w:r>
        <w:t xml:space="preserve"> “The registered disposition applies to the complete fresh-TRAIN panel with the frozen configuration, comparator, price, horizon and service margin. It is a finite-panel development confirmation criterion, not a statistical-significance or real-time-deployability claim. The 10-step confirmatory horizon and the 30-step screen horizon answer different duration-specific questions. C1, C2 and C3-S marginal contributions retain their separately defined comparisons.”</w:t>
      </w:r>
    </w:p>
    <w:p>
      <w:pPr>
        <w:pStyle w:val="Heading1"/>
      </w:pPr>
      <w:r>
        <w:t>Eight citations to prioritize</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9E0E7"/>
          <w:left w:val="single" w:sz="4" w:color="D9E0E7"/>
          <w:bottom w:val="single" w:sz="4" w:color="D9E0E7"/>
          <w:right w:val="single" w:sz="4" w:color="D9E0E7"/>
          <w:insideH w:val="single" w:sz="4" w:color="D9E0E7"/>
          <w:insideV w:val="single" w:sz="4" w:color="D9E0E7"/>
        </w:tblBorders>
      </w:tblPr>
      <w:tblGrid>
        <w:gridCol w:w="4320"/>
        <w:gridCol w:w="5040"/>
      </w:tblGrid>
      <w:tr>
        <w:trPr>
          <w:cantSplit/>
          <w:tblHeader/>
        </w:trPr>
        <w:tc>
          <w:tcPr>
            <w:tcW w:type="dxa" w:w="4320"/>
            <w:vAlign w:val="center"/>
            <w:shd w:fill="F2F4F7"/>
          </w:tcPr>
          <w:p>
            <w:pPr>
              <w:pStyle w:val="ReportTable"/>
            </w:pPr>
            <w:r>
              <w:rPr>
                <w:b/>
              </w:rPr>
              <w:t>Citation</w:t>
            </w:r>
          </w:p>
        </w:tc>
        <w:tc>
          <w:tcPr>
            <w:tcW w:type="dxa" w:w="5040"/>
            <w:vAlign w:val="center"/>
            <w:shd w:fill="F2F4F7"/>
          </w:tcPr>
          <w:p>
            <w:pPr>
              <w:pStyle w:val="ReportTable"/>
            </w:pPr>
            <w:r>
              <w:rPr>
                <w:b/>
              </w:rPr>
              <w:t>One-line relevance</w:t>
            </w:r>
          </w:p>
        </w:tc>
      </w:tr>
      <w:tr>
        <w:trPr>
          <w:cantSplit/>
        </w:trPr>
        <w:tc>
          <w:tcPr>
            <w:tcW w:type="dxa" w:w="4320"/>
            <w:vAlign w:val="center"/>
          </w:tcPr>
          <w:p>
            <w:pPr>
              <w:pStyle w:val="ReportTable"/>
            </w:pPr>
            <w:r>
              <w:t xml:space="preserve">Huang, Bi &amp; Zhang, </w:t>
            </w:r>
            <w:r>
              <w:rPr>
                <w:b/>
              </w:rPr>
              <w:t>DROO</w:t>
            </w:r>
            <w:r>
              <w:t xml:space="preserve">, IEEE TMC 19(11):2581–2593, 2020. </w:t>
            </w:r>
            <w:hyperlink r:id="rId11">
              <w:r>
                <w:rPr>
                  <w:color w:val="23649A"/>
                  <w:u w:val="single"/>
                </w:rPr>
                <w:t>Paper</w:t>
              </w:r>
            </w:hyperlink>
          </w:p>
        </w:tc>
        <w:tc>
          <w:tcPr>
            <w:tcW w:type="dxa" w:w="5040"/>
            <w:vAlign w:val="center"/>
          </w:tcPr>
          <w:p>
            <w:pPr>
              <w:pStyle w:val="ReportTable"/>
            </w:pPr>
            <w:r>
              <w:t>Closest learned-proposal → complete candidates → model-based evaluation → selection architecture.</w:t>
            </w:r>
          </w:p>
        </w:tc>
      </w:tr>
      <w:tr>
        <w:trPr>
          <w:cantSplit/>
        </w:trPr>
        <w:tc>
          <w:tcPr>
            <w:tcW w:type="dxa" w:w="4320"/>
            <w:vAlign w:val="center"/>
          </w:tcPr>
          <w:p>
            <w:pPr>
              <w:pStyle w:val="ReportTable"/>
            </w:pPr>
            <w:r>
              <w:t xml:space="preserve">Lei et al., </w:t>
            </w:r>
            <w:r>
              <w:rPr>
                <w:b/>
              </w:rPr>
              <w:t>Beam Illumination Pattern Design in Satellite Networks</w:t>
            </w:r>
            <w:r>
              <w:t xml:space="preserve">, IEEE Access 8:136655–136667, 2020. </w:t>
            </w:r>
            <w:hyperlink r:id="rId35">
              <w:r>
                <w:rPr>
                  <w:color w:val="23649A"/>
                  <w:u w:val="single"/>
                </w:rPr>
                <w:t>Paper</w:t>
              </w:r>
            </w:hyperlink>
          </w:p>
        </w:tc>
        <w:tc>
          <w:tcPr>
            <w:tcW w:type="dxa" w:w="5040"/>
            <w:vAlign w:val="center"/>
          </w:tcPr>
          <w:p>
            <w:pPr>
              <w:pStyle w:val="ReportTable"/>
            </w:pPr>
            <w:r>
              <w:t>Established satellite learning-plus-optimization and feasibility-refinement antecedent.</w:t>
            </w:r>
          </w:p>
        </w:tc>
      </w:tr>
      <w:tr>
        <w:trPr>
          <w:cantSplit/>
        </w:trPr>
        <w:tc>
          <w:tcPr>
            <w:tcW w:type="dxa" w:w="4320"/>
            <w:vAlign w:val="center"/>
          </w:tcPr>
          <w:p>
            <w:pPr>
              <w:pStyle w:val="ReportTable"/>
            </w:pPr>
            <w:r>
              <w:t xml:space="preserve">Duan et al., </w:t>
            </w:r>
            <w:r>
              <w:rPr>
                <w:b/>
              </w:rPr>
              <w:t>Joint User Association and Dynamic Beam Operation</w:t>
            </w:r>
            <w:r>
              <w:t xml:space="preserve">, APCC, 2021. </w:t>
            </w:r>
            <w:hyperlink r:id="rId19">
              <w:r>
                <w:rPr>
                  <w:color w:val="23649A"/>
                  <w:u w:val="single"/>
                </w:rPr>
                <w:t>Paper</w:t>
              </w:r>
            </w:hyperlink>
          </w:p>
        </w:tc>
        <w:tc>
          <w:tcPr>
            <w:tcW w:type="dxa" w:w="5040"/>
            <w:vAlign w:val="center"/>
          </w:tcPr>
          <w:p>
            <w:pPr>
              <w:pStyle w:val="ReportTable"/>
            </w:pPr>
            <w:r>
              <w:t>Direct LEO joint association, power and beam-activation prior art.</w:t>
            </w:r>
          </w:p>
        </w:tc>
      </w:tr>
      <w:tr>
        <w:trPr>
          <w:cantSplit/>
        </w:trPr>
        <w:tc>
          <w:tcPr>
            <w:tcW w:type="dxa" w:w="4320"/>
            <w:vAlign w:val="center"/>
          </w:tcPr>
          <w:p>
            <w:pPr>
              <w:pStyle w:val="ReportTable"/>
            </w:pPr>
            <w:r>
              <w:t xml:space="preserve">Fastenbauer et al., </w:t>
            </w:r>
            <w:r>
              <w:rPr>
                <w:b/>
              </w:rPr>
              <w:t>LEO Satellite Beam Hopping for Power Consumption Minimization</w:t>
            </w:r>
            <w:r>
              <w:t xml:space="preserve">, IEEE OJCOMS 6:6930–6952, 2025. </w:t>
            </w:r>
            <w:hyperlink r:id="rId36">
              <w:r>
                <w:rPr>
                  <w:color w:val="23649A"/>
                  <w:u w:val="single"/>
                </w:rPr>
                <w:t>Paper</w:t>
              </w:r>
            </w:hyperlink>
          </w:p>
        </w:tc>
        <w:tc>
          <w:tcPr>
            <w:tcW w:type="dxa" w:w="5040"/>
            <w:vAlign w:val="center"/>
          </w:tcPr>
          <w:p>
            <w:pPr>
              <w:pStyle w:val="ReportTable"/>
            </w:pPr>
            <w:r>
              <w:t>Quantifies conditional beam-management power savings and exposes CSI/runtime limits.</w:t>
            </w:r>
          </w:p>
        </w:tc>
      </w:tr>
      <w:tr>
        <w:trPr>
          <w:cantSplit/>
        </w:trPr>
        <w:tc>
          <w:tcPr>
            <w:tcW w:type="dxa" w:w="4320"/>
            <w:vAlign w:val="center"/>
          </w:tcPr>
          <w:p>
            <w:pPr>
              <w:pStyle w:val="ReportTable"/>
            </w:pPr>
            <w:r>
              <w:t xml:space="preserve">You et al., </w:t>
            </w:r>
            <w:r>
              <w:rPr>
                <w:b/>
              </w:rPr>
              <w:t>Massive MIMO Transmission for LEO Satellite Communications</w:t>
            </w:r>
            <w:r>
              <w:t xml:space="preserve">, IEEE JSAC 38(8):1851–1865, 2020. </w:t>
            </w:r>
            <w:hyperlink r:id="rId37">
              <w:r>
                <w:rPr>
                  <w:color w:val="23649A"/>
                  <w:u w:val="single"/>
                </w:rPr>
                <w:t>Paper</w:t>
              </w:r>
            </w:hyperlink>
          </w:p>
        </w:tc>
        <w:tc>
          <w:tcPr>
            <w:tcW w:type="dxa" w:w="5040"/>
            <w:vAlign w:val="center"/>
          </w:tcPr>
          <w:p>
            <w:pPr>
              <w:pStyle w:val="ReportTable"/>
            </w:pPr>
            <w:r>
              <w:t>Strong LEO statistical-CSI reference; distinguishes statistics from realised channel access.</w:t>
            </w:r>
          </w:p>
        </w:tc>
      </w:tr>
      <w:tr>
        <w:trPr>
          <w:cantSplit/>
        </w:trPr>
        <w:tc>
          <w:tcPr>
            <w:tcW w:type="dxa" w:w="4320"/>
            <w:vAlign w:val="center"/>
          </w:tcPr>
          <w:p>
            <w:pPr>
              <w:pStyle w:val="ReportTable"/>
            </w:pPr>
            <w:r>
              <w:t xml:space="preserve">Foerster et al., </w:t>
            </w:r>
            <w:r>
              <w:rPr>
                <w:b/>
              </w:rPr>
              <w:t>Counterfactual Multi-Agent Policy Gradients</w:t>
            </w:r>
            <w:r>
              <w:t xml:space="preserve">, AAAI, 2018. </w:t>
            </w:r>
            <w:hyperlink r:id="rId38">
              <w:r>
                <w:rPr>
                  <w:color w:val="23649A"/>
                  <w:u w:val="single"/>
                </w:rPr>
                <w:t>Paper</w:t>
              </w:r>
            </w:hyperlink>
          </w:p>
        </w:tc>
        <w:tc>
          <w:tcPr>
            <w:tcW w:type="dxa" w:w="5040"/>
            <w:vAlign w:val="center"/>
          </w:tcPr>
          <w:p>
            <w:pPr>
              <w:pStyle w:val="ReportTable"/>
            </w:pPr>
            <w:r>
              <w:t>Defines the credit-assignment guarantee whose scope the paper must not overstate.</w:t>
            </w:r>
          </w:p>
        </w:tc>
      </w:tr>
      <w:tr>
        <w:trPr>
          <w:cantSplit/>
        </w:trPr>
        <w:tc>
          <w:tcPr>
            <w:tcW w:type="dxa" w:w="4320"/>
            <w:vAlign w:val="center"/>
          </w:tcPr>
          <w:p>
            <w:pPr>
              <w:pStyle w:val="ReportTable"/>
            </w:pPr>
            <w:r>
              <w:t xml:space="preserve">Böhmer, Kurin &amp; Whiteson, </w:t>
            </w:r>
            <w:r>
              <w:rPr>
                <w:b/>
              </w:rPr>
              <w:t>Deep Coordination Graphs</w:t>
            </w:r>
            <w:r>
              <w:t xml:space="preserve">, ICML/PMLR 119:980–991, 2020. </w:t>
            </w:r>
            <w:hyperlink r:id="rId39">
              <w:r>
                <w:rPr>
                  <w:color w:val="23649A"/>
                  <w:u w:val="single"/>
                </w:rPr>
                <w:t>Paper</w:t>
              </w:r>
            </w:hyperlink>
          </w:p>
        </w:tc>
        <w:tc>
          <w:tcPr>
            <w:tcW w:type="dxa" w:w="5040"/>
            <w:vAlign w:val="center"/>
          </w:tcPr>
          <w:p>
            <w:pPr>
              <w:pStyle w:val="ReportTable"/>
            </w:pPr>
            <w:r>
              <w:t>Direct precedent for preserving learned utilities while coordinating the final action.</w:t>
            </w:r>
          </w:p>
        </w:tc>
      </w:tr>
      <w:tr>
        <w:trPr>
          <w:cantSplit/>
        </w:trPr>
        <w:tc>
          <w:tcPr>
            <w:tcW w:type="dxa" w:w="4320"/>
            <w:vAlign w:val="center"/>
          </w:tcPr>
          <w:p>
            <w:pPr>
              <w:pStyle w:val="ReportTable"/>
            </w:pPr>
            <w:r>
              <w:t xml:space="preserve">Shen &amp; Yu, </w:t>
            </w:r>
            <w:r>
              <w:rPr>
                <w:b/>
              </w:rPr>
              <w:t>Fractional Programming for Communication Systems—Part I</w:t>
            </w:r>
            <w:r>
              <w:t xml:space="preserve">, IEEE TSP 66(10):2616–2630, 2018. </w:t>
            </w:r>
            <w:hyperlink r:id="rId40">
              <w:r>
                <w:rPr>
                  <w:color w:val="23649A"/>
                  <w:u w:val="single"/>
                </w:rPr>
                <w:t>Paper</w:t>
              </w:r>
            </w:hyperlink>
          </w:p>
        </w:tc>
        <w:tc>
          <w:tcPr>
            <w:tcW w:type="dxa" w:w="5040"/>
            <w:vAlign w:val="center"/>
          </w:tcPr>
          <w:p>
            <w:pPr>
              <w:pStyle w:val="ReportTable"/>
            </w:pPr>
            <w:r>
              <w:t>Grounds pooled network EE and the limit of a frozen subtractive reference price.</w:t>
            </w:r>
          </w:p>
        </w:tc>
      </w:tr>
    </w:tbl>
    <w:p>
      <w:pPr>
        <w:spacing w:after="0"/>
      </w:pPr>
    </w:p>
    <w:p>
      <w:r>
        <w:t>Research limits: this was a bounded primary-source review, not an exhaustive novelty search. Full texts were checked for the central claims about DROO, COMA, statistical CSI, fractional programming and Fastenbauer’s power/latency results; several other sources were available only through author manuscripts or institutional/indexed abstracts, as indicated. The supplied chronology is a derived index and E1’s raw tape is not included. Searches covered hybrid selectors, satellite beam activation and energy, imperfect CSI, counterfactual credit assignment, fractional EE and simulation design. Research stopped after each requested topic had primary support or an explicit evidence limit; no comparable field measurement of C3-S-style evacuation or closed-loop C3-S outcome was found in the supplied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C3-S  |  Literature and claim boundaries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color w:val="17212B"/>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color w:val="64718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color w:val="6471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pPr>
    <w:rPr>
      <w:rFonts w:asciiTheme="majorHAnsi" w:eastAsiaTheme="majorEastAsia" w:hAnsiTheme="majorHAnsi" w:cstheme="majorBidi" w:ascii="Calibri" w:hAnsi="Calibri"/>
      <w:b/>
      <w:color w:val="1721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64" w:lineRule="auto"/>
    </w:pPr>
    <w:rPr>
      <w:rFonts w:asciiTheme="majorHAnsi" w:eastAsiaTheme="majorEastAsia" w:hAnsiTheme="majorHAnsi" w:cstheme="majorBidi" w:ascii="Calibri" w:hAnsi="Calibri"/>
      <w:i/>
      <w:iCs/>
      <w:color w:val="5363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Metadata">
    <w:name w:val="Report Metadata"/>
    <w:basedOn w:val="Normal"/>
    <w:rPr>
      <w:color w:val="647180"/>
      <w:sz w:val="20"/>
    </w:rPr>
  </w:style>
  <w:style w:type="paragraph" w:customStyle="1" w:styleId="ReportTable">
    <w:name w:val="Report Table"/>
    <w:basedOn w:val="Normal"/>
    <w:pPr>
      <w:spacing w:before="0" w:after="80" w:line="264" w:lineRule="auto"/>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html/1808.01977v6" TargetMode="External"/><Relationship Id="rId12" Type="http://schemas.openxmlformats.org/officeDocument/2006/relationships/hyperlink" Target="https://orbilu.uni.lu/handle/10993/44168" TargetMode="External"/><Relationship Id="rId13" Type="http://schemas.openxmlformats.org/officeDocument/2006/relationships/hyperlink" Target="https://arxiv.org/html/2608.14335v1" TargetMode="External"/><Relationship Id="rId14" Type="http://schemas.openxmlformats.org/officeDocument/2006/relationships/hyperlink" Target="https://arxiv.org/html/1809.02159v1" TargetMode="External"/><Relationship Id="rId15" Type="http://schemas.openxmlformats.org/officeDocument/2006/relationships/hyperlink" Target="https://proceedings.mlr.press/v119/boehmer20a/boehmer20a.pdf" TargetMode="External"/><Relationship Id="rId16" Type="http://schemas.openxmlformats.org/officeDocument/2006/relationships/hyperlink" Target="https://proceedings.mlr.press/v80/rashid18a.html" TargetMode="External"/><Relationship Id="rId17" Type="http://schemas.openxmlformats.org/officeDocument/2006/relationships/hyperlink" Target="https://ojs.aaai.org/index.php/AAAI/article/view/11797" TargetMode="External"/><Relationship Id="rId18" Type="http://schemas.openxmlformats.org/officeDocument/2006/relationships/hyperlink" Target="https://arxiv.org/abs/1812.05506" TargetMode="External"/><Relationship Id="rId19" Type="http://schemas.openxmlformats.org/officeDocument/2006/relationships/hyperlink" Target="https://doi.org/10.1109/APCC49754.2021.9609843" TargetMode="External"/><Relationship Id="rId20" Type="http://schemas.openxmlformats.org/officeDocument/2006/relationships/hyperlink" Target="https://arxiv.org/html/2411.08896v1" TargetMode="External"/><Relationship Id="rId21" Type="http://schemas.openxmlformats.org/officeDocument/2006/relationships/hyperlink" Target="https://www.researchgate.net/publication/394946808_LEO_Satellite_Beam_Hopping_for_Power_Consumption_Minimization_at_Different_Elevation_Angles" TargetMode="External"/><Relationship Id="rId22" Type="http://schemas.openxmlformats.org/officeDocument/2006/relationships/hyperlink" Target="https://doi.org/10.1016/j.comcom.2025.108122" TargetMode="External"/><Relationship Id="rId23" Type="http://schemas.openxmlformats.org/officeDocument/2006/relationships/hyperlink" Target="https://doi.org/10.1109/LWC.2020.3002846" TargetMode="External"/><Relationship Id="rId24" Type="http://schemas.openxmlformats.org/officeDocument/2006/relationships/hyperlink" Target="https://arxiv.org/pdf/2002.08148" TargetMode="External"/><Relationship Id="rId25" Type="http://schemas.openxmlformats.org/officeDocument/2006/relationships/hyperlink" Target="https://atisorg.s3.amazonaws.com/archive/3gpp-documents/Rel15/ATIS.3GPP.38.811.V1530.pdf" TargetMode="External"/><Relationship Id="rId26" Type="http://schemas.openxmlformats.org/officeDocument/2006/relationships/hyperlink" Target="https://arxiv.org/html/2405.17150v1" TargetMode="External"/><Relationship Id="rId27" Type="http://schemas.openxmlformats.org/officeDocument/2006/relationships/hyperlink" Target="https://arxiv.org/html/2410.21489v1" TargetMode="External"/><Relationship Id="rId28" Type="http://schemas.openxmlformats.org/officeDocument/2006/relationships/hyperlink" Target="https://www.gerad.ca/fr/papers/G-2021-38.pdf" TargetMode="External"/><Relationship Id="rId29" Type="http://schemas.openxmlformats.org/officeDocument/2006/relationships/hyperlink" Target="https://jmlr.org/papers/v25/23-0183.html" TargetMode="External"/><Relationship Id="rId30" Type="http://schemas.openxmlformats.org/officeDocument/2006/relationships/hyperlink" Target="https://arxiv.org/pdf/1802.10192" TargetMode="External"/><Relationship Id="rId31" Type="http://schemas.openxmlformats.org/officeDocument/2006/relationships/hyperlink" Target="https://ieeevtc.org/vtc2024spring/DATA/PID2024002205.pdf" TargetMode="External"/><Relationship Id="rId32" Type="http://schemas.openxmlformats.org/officeDocument/2006/relationships/hyperlink" Target="https://arxiv.org/pdf/1705.08926" TargetMode="External"/><Relationship Id="rId33" Type="http://schemas.openxmlformats.org/officeDocument/2006/relationships/hyperlink" Target="https://www.ifaamas.org/Proceedings/aamas2021/pdfs/p1475.pdf" TargetMode="External"/><Relationship Id="rId34" Type="http://schemas.openxmlformats.org/officeDocument/2006/relationships/hyperlink" Target="https://proceedings.mlr.press/v97/son19a.html" TargetMode="External"/><Relationship Id="rId35" Type="http://schemas.openxmlformats.org/officeDocument/2006/relationships/hyperlink" Target="https://doi.org/10.1109/ACCESS.2020.3011746" TargetMode="External"/><Relationship Id="rId36" Type="http://schemas.openxmlformats.org/officeDocument/2006/relationships/hyperlink" Target="https://doi.org/10.1109/OJCOMS.2025.3602090" TargetMode="External"/><Relationship Id="rId37" Type="http://schemas.openxmlformats.org/officeDocument/2006/relationships/hyperlink" Target="https://arxiv.org/abs/2002.08148" TargetMode="External"/><Relationship Id="rId38" Type="http://schemas.openxmlformats.org/officeDocument/2006/relationships/hyperlink" Target="https://arxiv.org/abs/1705.08926" TargetMode="External"/><Relationship Id="rId39" Type="http://schemas.openxmlformats.org/officeDocument/2006/relationships/hyperlink" Target="https://proceedings.mlr.press/v119/boehmer20a.html" TargetMode="External"/><Relationship Id="rId40" Type="http://schemas.openxmlformats.org/officeDocument/2006/relationships/hyperlink" Target="https://arxiv.org/abs/1802.101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C3-S: Related Work and Defensible Claims</dc:title>
  <dc:subject>LEO handover model-based coordination, energy efficiency, and credit assignment</dc:subject>
  <dc:creator/>
  <cp:keywords>C3-S, LEO, coordination, nominal channel, energy efficiency, literature review</cp:keywords>
  <dc:description>generated by python-docx</dc:description>
  <cp:lastModifiedBy/>
  <cp:revision>1</cp:revision>
  <dcterms:created xsi:type="dcterms:W3CDTF">2013-12-23T23:15:00Z</dcterms:created>
  <dcterms:modified xsi:type="dcterms:W3CDTF">2013-12-23T23:15:00Z</dcterms:modified>
  <cp:category/>
</cp:coreProperties>
</file>