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LEO coordinator stabilisers: evidence and claim limits</w:t>
      </w:r>
    </w:p>
    <w:p>
      <w:pPr>
        <w:pStyle w:val="Subtitle"/>
      </w:pPr>
      <w:r>
        <w:t>Literature review of the seven-variant, pre-outcome C3-S development screen</w:t>
      </w:r>
    </w:p>
    <w:p>
      <w:pPr>
        <w:spacing w:after="200"/>
      </w:pPr>
      <w:r>
        <w:rPr>
          <w:color w:val="65768A"/>
          <w:sz w:val="20"/>
        </w:rPr>
        <w:t>Prepared for the MCRL research team · 8 September 2026</w:t>
      </w:r>
    </w:p>
    <w:p>
      <w:pPr>
        <w:pStyle w:val="Heading1"/>
      </w:pPr>
      <w:r>
        <w:t>Assessment</w:t>
      </w:r>
    </w:p>
    <w:p>
      <w:pPr/>
      <w:r>
        <w:t>The seven variants are defensible as a bounded development screen of plausible mechanisms. The literature does not establish that the fixed 0.1% margin, three-step cadence, three-step override lock, three-offset persistence score, or one-step lookahead is optimal—or even beneficial—in this simulator. Their defensible status is a set of transparent, fixed design probes. No sealed quantity needs to be changed to report them honestly.</w:t>
      </w:r>
    </w:p>
    <w:p>
      <w:pPr/>
      <w:r>
        <w:t>The most consequential distinction is between suppressing coordinator interventions and stabilising physical associations. V-C still executes BASE on intervening steps; V-H still permits BASE to move a locked user. Neither implements a conventional association dwell timer. Likewise, V-M is a nominal gain buffer, not an uncertainty-calibrated safety certificate, and V-L2 is a two-interval rollout with BASE continuation, not a demonstrated long-horizon EE optimiser.</w:t>
      </w:r>
    </w:p>
    <w:p>
      <w:pPr/>
      <w:r>
        <w:t>There is strong evidence for handover–quality trade-offs and for prediction-aware satellite scheduling. Direct evidence that this particular cadence or two-interval rollout improves pooled network EE is missing. Four shared worlds can expose failures and prioritise follow-up; they cannot make eight positive-versus-BASE comparisons confirmatory. These conclusions follow from the evidence below, not from any new simulator outcomes.</w:t>
      </w:r>
    </w:p>
    <w:p>
      <w:pPr>
        <w:pStyle w:val="Heading1"/>
      </w:pPr>
      <w:r>
        <w:t>Scope and project evidence</w:t>
      </w:r>
    </w:p>
    <w:p>
      <w:pPr/>
      <w:r>
        <w:t xml:space="preserve">The reviewed attachment is </w:t>
      </w:r>
      <w:r>
        <w:rPr>
          <w:b/>
        </w:rPr>
        <w:t>multi-catfish-c3s-variants-chatgpt-review-package-20260908-r4.zip</w:t>
      </w:r>
      <w:r>
        <w:t xml:space="preserve">. Files were read in the requested order: </w:t>
      </w:r>
      <w:r>
        <w:rPr>
          <w:b/>
        </w:rPr>
        <w:t>00-README.md</w:t>
      </w:r>
      <w:r>
        <w:t xml:space="preserve">, </w:t>
      </w:r>
      <w:r>
        <w:rPr>
          <w:b/>
        </w:rPr>
        <w:t>02-CONTROLLER-REVIEW-AND-FAILURE-MAPPING.md</w:t>
      </w:r>
      <w:r>
        <w:t xml:space="preserve">, then </w:t>
      </w:r>
      <w:r>
        <w:rPr>
          <w:b/>
        </w:rPr>
        <w:t>01-VARIANT-MATRIX-CONTRACT-DRAFT.md</w:t>
      </w:r>
      <w:r>
        <w:t>. References below to “01” and “02” mean these exact files; because their operative sections are not numbered, quoted section labels and variant rows locate claims. File 03 and its Addendum A establish the inherited design; files 04–09 provide diagnostic/history context. These are supplied project evidence, not independently reproduced results. No experiments, source changes, or parameter selection were performed for this review.</w:t>
      </w:r>
    </w:p>
    <w:p>
      <w:pPr/>
      <w:r>
        <w:t>The literature search prioritised original papers, author manuscripts, and the official NR specification, principally 2016–2026. Older statistical foundations are identified explicitly. PreHO and Aidos are cited as 2026 preprints. Some publisher pages were unavailable; author or publisher-provided manuscripts supplied the inspected text. Abe et al. is used only at abstract level. This is a targeted critical review, not an exhaustive systematic review; no close external replication of the complete C3-S architecture was found.</w:t>
      </w:r>
    </w:p>
    <w:p>
      <w:pPr>
        <w:pStyle w:val="Heading1"/>
      </w:pPr>
      <w:r>
        <w:t>1. Hysteresis, time-to-trigger, dwell and ping-pong</w:t>
      </w:r>
    </w:p>
    <w:p>
      <w:pPr/>
      <w:r>
        <w:t xml:space="preserve">Classical hysteresis requires a sufficiently better candidate before switching; time-to-trigger (TTT) requires an event condition to persist; a dwell/lock timer constrains moves after a transition. They act at different points and should not share one label. In NR, TTT concerns triggering a measurement report, not simply delaying any scheduler action. TS 38.331 permits radio hysteresis of 0–15 dB in 0.5 dB increments and TTT values from 0 to 5.120 s. These are permitted encodings, not recommended operating points. A 30.08 s simulator step is already 5.875 times the largest encoded TTT. </w:t>
      </w:r>
      <w:hyperlink r:id="rId11">
        <w:r>
          <w:rPr>
            <w:color w:val="24618E"/>
            <w:u w:val="single"/>
          </w:rPr>
          <w:t>ETSI/3GPP, TS 38.331 §6.3.2</w:t>
        </w:r>
      </w:hyperlink>
      <w:r>
        <w:t>.</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5DCE3"/>
          <w:left w:val="single" w:sz="4" w:color="D5DCE3"/>
          <w:bottom w:val="single" w:sz="4" w:color="D5DCE3"/>
          <w:right w:val="single" w:sz="4" w:color="D5DCE3"/>
          <w:insideH w:val="single" w:sz="4" w:color="D5DCE3"/>
          <w:insideV w:val="single" w:sz="4" w:color="D5DCE3"/>
        </w:tblBorders>
      </w:tblPr>
      <w:tblGrid>
        <w:gridCol w:w="2200"/>
        <w:gridCol w:w="2400"/>
        <w:gridCol w:w="4760"/>
      </w:tblGrid>
      <w:tr>
        <w:trPr>
          <w:cantSplit/>
          <w:tblHeader/>
        </w:trPr>
        <w:tc>
          <w:tcPr>
            <w:tcW w:type="dxa" w:w="2200"/>
            <w:vAlign w:val="center"/>
            <w:shd w:fill="F2F4F7"/>
          </w:tcPr>
          <w:p>
            <w:pPr>
              <w:spacing w:after="60" w:before="60" w:line="254" w:lineRule="auto"/>
            </w:pPr>
            <w:r>
              <w:rPr>
                <w:b/>
                <w:sz w:val="20"/>
              </w:rPr>
              <w:t>Quantity</w:t>
            </w:r>
          </w:p>
        </w:tc>
        <w:tc>
          <w:tcPr>
            <w:tcW w:type="dxa" w:w="2400"/>
            <w:vAlign w:val="center"/>
            <w:shd w:fill="F2F4F7"/>
          </w:tcPr>
          <w:p>
            <w:pPr>
              <w:spacing w:after="60" w:before="60" w:line="254" w:lineRule="auto"/>
            </w:pPr>
            <w:r>
              <w:rPr>
                <w:b/>
                <w:sz w:val="20"/>
              </w:rPr>
              <w:t>Physical time</w:t>
            </w:r>
          </w:p>
        </w:tc>
        <w:tc>
          <w:tcPr>
            <w:tcW w:type="dxa" w:w="4760"/>
            <w:vAlign w:val="center"/>
            <w:shd w:fill="F2F4F7"/>
          </w:tcPr>
          <w:p>
            <w:pPr>
              <w:spacing w:after="60" w:before="60" w:line="254" w:lineRule="auto"/>
            </w:pPr>
            <w:r>
              <w:rPr>
                <w:b/>
                <w:sz w:val="20"/>
              </w:rPr>
              <w:t>Correct interpretation in this screen</w:t>
            </w:r>
          </w:p>
        </w:tc>
      </w:tr>
      <w:tr>
        <w:trPr>
          <w:cantSplit/>
        </w:trPr>
        <w:tc>
          <w:tcPr>
            <w:tcW w:type="dxa" w:w="2200"/>
            <w:vAlign w:val="center"/>
          </w:tcPr>
          <w:p>
            <w:pPr>
              <w:spacing w:after="60" w:before="60" w:line="254" w:lineRule="auto"/>
            </w:pPr>
            <w:r>
              <w:rPr>
                <w:sz w:val="20"/>
              </w:rPr>
              <w:t>Native decision interval</w:t>
            </w:r>
          </w:p>
        </w:tc>
        <w:tc>
          <w:tcPr>
            <w:tcW w:type="dxa" w:w="2400"/>
            <w:vAlign w:val="center"/>
          </w:tcPr>
          <w:p>
            <w:pPr>
              <w:spacing w:after="60" w:before="60" w:line="254" w:lineRule="auto"/>
            </w:pPr>
            <w:r>
              <w:rPr>
                <w:sz w:val="20"/>
              </w:rPr>
              <w:t>30.08 s</w:t>
            </w:r>
          </w:p>
        </w:tc>
        <w:tc>
          <w:tcPr>
            <w:tcW w:type="dxa" w:w="4760"/>
            <w:vAlign w:val="center"/>
          </w:tcPr>
          <w:p>
            <w:pPr>
              <w:spacing w:after="60" w:before="60" w:line="254" w:lineRule="auto"/>
            </w:pPr>
            <w:r>
              <w:rPr>
                <w:sz w:val="20"/>
              </w:rPr>
              <w:t>One committed simulator interval</w:t>
            </w:r>
          </w:p>
        </w:tc>
      </w:tr>
      <w:tr>
        <w:trPr>
          <w:cantSplit/>
        </w:trPr>
        <w:tc>
          <w:tcPr>
            <w:tcW w:type="dxa" w:w="2200"/>
            <w:vAlign w:val="center"/>
          </w:tcPr>
          <w:p>
            <w:pPr>
              <w:spacing w:after="60" w:before="60" w:line="254" w:lineRule="auto"/>
            </w:pPr>
            <w:r>
              <w:rPr>
                <w:sz w:val="20"/>
              </w:rPr>
              <w:t>V-C: every third decision</w:t>
            </w:r>
          </w:p>
        </w:tc>
        <w:tc>
          <w:tcPr>
            <w:tcW w:type="dxa" w:w="2400"/>
            <w:vAlign w:val="center"/>
          </w:tcPr>
          <w:p>
            <w:pPr>
              <w:spacing w:after="60" w:before="60" w:line="254" w:lineRule="auto"/>
            </w:pPr>
            <w:r>
              <w:rPr>
                <w:sz w:val="20"/>
              </w:rPr>
              <w:t>90.24 s between calls</w:t>
            </w:r>
          </w:p>
        </w:tc>
        <w:tc>
          <w:tcPr>
            <w:tcW w:type="dxa" w:w="4760"/>
            <w:vAlign w:val="center"/>
          </w:tcPr>
          <w:p>
            <w:pPr>
              <w:spacing w:after="60" w:before="60" w:line="254" w:lineRule="auto"/>
            </w:pPr>
            <w:r>
              <w:rPr>
                <w:sz w:val="20"/>
              </w:rPr>
              <w:t>Coordinator runs 10 of 30 times; BASE acts throughout</w:t>
            </w:r>
          </w:p>
        </w:tc>
      </w:tr>
      <w:tr>
        <w:trPr>
          <w:cantSplit/>
        </w:trPr>
        <w:tc>
          <w:tcPr>
            <w:tcW w:type="dxa" w:w="2200"/>
            <w:vAlign w:val="center"/>
          </w:tcPr>
          <w:p>
            <w:pPr>
              <w:spacing w:after="60" w:before="60" w:line="254" w:lineRule="auto"/>
            </w:pPr>
            <w:r>
              <w:rPr>
                <w:sz w:val="20"/>
              </w:rPr>
              <w:t>V-H: block t+1, t+2, t+3</w:t>
            </w:r>
          </w:p>
        </w:tc>
        <w:tc>
          <w:tcPr>
            <w:tcW w:type="dxa" w:w="2400"/>
            <w:vAlign w:val="center"/>
          </w:tcPr>
          <w:p>
            <w:pPr>
              <w:spacing w:after="60" w:before="60" w:line="254" w:lineRule="auto"/>
            </w:pPr>
            <w:r>
              <w:rPr>
                <w:sz w:val="20"/>
              </w:rPr>
              <w:t>Three subsequent decisions</w:t>
            </w:r>
          </w:p>
        </w:tc>
        <w:tc>
          <w:tcPr>
            <w:tcW w:type="dxa" w:w="4760"/>
            <w:vAlign w:val="center"/>
          </w:tcPr>
          <w:p>
            <w:pPr>
              <w:spacing w:after="60" w:before="60" w:line="254" w:lineRule="auto"/>
            </w:pPr>
            <w:r>
              <w:rPr>
                <w:sz w:val="20"/>
              </w:rPr>
              <w:t>Earliest later coordinator override is t+4, 120.32 s after the triggering move</w:t>
            </w:r>
          </w:p>
        </w:tc>
      </w:tr>
      <w:tr>
        <w:trPr>
          <w:cantSplit/>
        </w:trPr>
        <w:tc>
          <w:tcPr>
            <w:tcW w:type="dxa" w:w="2200"/>
            <w:vAlign w:val="center"/>
          </w:tcPr>
          <w:p>
            <w:pPr>
              <w:spacing w:after="60" w:before="60" w:line="254" w:lineRule="auto"/>
            </w:pPr>
            <w:r>
              <w:rPr>
                <w:sz w:val="20"/>
              </w:rPr>
              <w:t>V-P: up to three future offsets</w:t>
            </w:r>
          </w:p>
        </w:tc>
        <w:tc>
          <w:tcPr>
            <w:tcW w:type="dxa" w:w="2400"/>
            <w:vAlign w:val="center"/>
          </w:tcPr>
          <w:p>
            <w:pPr>
              <w:spacing w:after="60" w:before="60" w:line="254" w:lineRule="auto"/>
            </w:pPr>
            <w:r>
              <w:rPr>
                <w:sz w:val="20"/>
              </w:rPr>
              <w:t>30.08, 60.16, 90.24 s</w:t>
            </w:r>
          </w:p>
        </w:tc>
        <w:tc>
          <w:tcPr>
            <w:tcW w:type="dxa" w:w="4760"/>
            <w:vAlign w:val="center"/>
          </w:tcPr>
          <w:p>
            <w:pPr>
              <w:spacing w:after="60" w:before="60" w:line="254" w:lineRule="auto"/>
            </w:pPr>
            <w:r>
              <w:rPr>
                <w:sz w:val="20"/>
              </w:rPr>
              <w:t>Endpoint survival checks; shortened near episode end</w:t>
            </w:r>
          </w:p>
        </w:tc>
      </w:tr>
      <w:tr>
        <w:trPr>
          <w:cantSplit/>
        </w:trPr>
        <w:tc>
          <w:tcPr>
            <w:tcW w:type="dxa" w:w="2200"/>
            <w:vAlign w:val="center"/>
          </w:tcPr>
          <w:p>
            <w:pPr>
              <w:spacing w:after="60" w:before="60" w:line="254" w:lineRule="auto"/>
            </w:pPr>
            <w:r>
              <w:rPr>
                <w:sz w:val="20"/>
              </w:rPr>
              <w:t>V-L2</w:t>
            </w:r>
          </w:p>
        </w:tc>
        <w:tc>
          <w:tcPr>
            <w:tcW w:type="dxa" w:w="2400"/>
            <w:vAlign w:val="center"/>
          </w:tcPr>
          <w:p>
            <w:pPr>
              <w:spacing w:after="60" w:before="60" w:line="254" w:lineRule="auto"/>
            </w:pPr>
            <w:r>
              <w:rPr>
                <w:sz w:val="20"/>
              </w:rPr>
              <w:t>Current plus next interval</w:t>
            </w:r>
          </w:p>
        </w:tc>
        <w:tc>
          <w:tcPr>
            <w:tcW w:type="dxa" w:w="4760"/>
            <w:vAlign w:val="center"/>
          </w:tcPr>
          <w:p>
            <w:pPr>
              <w:spacing w:after="60" w:before="60" w:line="254" w:lineRule="auto"/>
            </w:pPr>
            <w:r>
              <w:rPr>
                <w:sz w:val="20"/>
              </w:rPr>
              <w:t>One projected transition; two scored intervals total</w:t>
            </w:r>
          </w:p>
        </w:tc>
      </w:tr>
    </w:tbl>
    <w:p>
      <w:pPr>
        <w:spacing w:after="0"/>
      </w:pPr>
    </w:p>
    <w:p>
      <w:pPr/>
      <w:r>
        <w:t>Times are arithmetic from file 01; the V-H interval does not imply 120.32 s of physical association persistence.</w:t>
      </w:r>
    </w:p>
    <w:p>
      <w:pPr/>
      <w:r>
        <w:rPr>
          <w:b/>
        </w:rPr>
        <w:t>Direct LEO evidence is cautionary.</w:t>
      </w:r>
      <w:r>
        <w:t xml:space="preserve"> Seeram et al. report that increasing TTT reduces ping-pong but increases radio-link failures; a 5 s TTT already degrades their example. Their reported availability optimum is TTT = 0 s, handover margin = 3 dB, for the studied 19/127-beam configurations. The result is expressly scenario-specific, and Table I’s stated margin grid is not readily reconciled with the reported 3 dB optimum. Use the trade-off as evidence, not that precise optimum as a transferable prescription. EE was not evaluated. </w:t>
      </w:r>
      <w:hyperlink r:id="rId12">
        <w:r>
          <w:rPr>
            <w:color w:val="24618E"/>
            <w:u w:val="single"/>
          </w:rPr>
          <w:t>Seeram et al., 2025, §IV, Figs. 3–7</w:t>
        </w:r>
      </w:hyperlink>
      <w:r>
        <w:t>.</w:t>
      </w:r>
    </w:p>
    <w:p>
      <w:pPr/>
      <w:r>
        <w:t xml:space="preserve">Aldubaikhy’s hybrid LEO controller reports 140.9 versus 390.9 handovers per two-hour run, a 64% reduction, across 50 runs per algorithm. However, mean SINR falls from 14.3 to 8.8 dB and availability from 99.8% to 90.2%. Its bundle includes an incumbent bonus, utility margin and other weights; this is not an isolated timer ablation. The table contradicts any reading of the accompanying prose as “no quality sacrifice.” Its 240 ms TTT is also emulated by a full 10 s epoch, illustrating why simulator discretisation matters. </w:t>
      </w:r>
      <w:hyperlink r:id="rId13">
        <w:r>
          <w:rPr>
            <w:color w:val="24618E"/>
            <w:u w:val="single"/>
          </w:rPr>
          <w:t>Aldubaikhy, 2026, §§6.1.3–6.2, Tables 2–3</w:t>
        </w:r>
      </w:hyperlink>
      <w:r>
        <w:t>.</w:t>
      </w:r>
    </w:p>
    <w:p>
      <w:pPr/>
      <w:r>
        <w:rPr>
          <w:b/>
        </w:rPr>
        <w:t>Terrestrial EE evidence supports a balance, not maximum persistence.</w:t>
      </w:r>
      <w:r>
        <w:t xml:space="preserve"> Park et al. jointly optimise association timing and transmit power in an ultra-dense network. They report 1.2× long-term average EE at a typical active base station against fixed-interval/fixed-power control; the optimal handover interval decreases as user speed rises. This is not an isolated cadence effect or the project’s ratio of pooled network bits to joules. </w:t>
      </w:r>
      <w:hyperlink r:id="rId14">
        <w:r>
          <w:rPr>
            <w:color w:val="24618E"/>
            <w:u w:val="single"/>
          </w:rPr>
          <w:t>Park et al., 2016, §IV-C and Figs. 4–6</w:t>
        </w:r>
      </w:hyperlink>
      <w:r>
        <w:t>.</w:t>
      </w:r>
    </w:p>
    <w:p>
      <w:pPr/>
      <w:r>
        <w:rPr>
          <w:b/>
        </w:rPr>
        <w:t>Implication for V-H:</w:t>
      </w:r>
      <w:r>
        <w:t xml:space="preserve"> retain the exact rule and describe it as a three-decision coordinator override cooldown. File 01 explicitly says “BASE 可移動它且不重設鎖.” It can inhibit repeated coordinator moves, but cannot guarantee ping-pong suppression: BASE may reverse an override at the next decision. Excluding an entire evacuation when a member is locked also changes the available group moves. Three steps is a fixed coarse probe of intervention persistence; the cited literature supplies no universal timer of that length.</w:t>
      </w:r>
    </w:p>
    <w:p>
      <w:pPr>
        <w:pStyle w:val="Heading1"/>
      </w:pPr>
      <w:r>
        <w:t>2. Decision cadence and event-triggered reconfiguration</w:t>
      </w:r>
    </w:p>
    <w:p>
      <w:pPr/>
      <w:r>
        <w:t xml:space="preserve">Less frequent physical reconfiguration helps when switching consumes time, energy, or control capacity, and the incumbent remains useful long enough to recover those costs. Wang and Javidi formalise this in optical-network scheduling: switch only when the new schedule’s weight advantage exceeds a state-dependent, sublinear hysteresis threshold. Under their assumptions, the adaptive policy retains throughput optimality despite nonzero reconfiguration delay. This is a strong mechanism precedent for avoiding insignificant switches, but its queueing theorem neither prices this satellite’s energy nor validates a fixed three-step period. </w:t>
      </w:r>
      <w:hyperlink r:id="rId15">
        <w:r>
          <w:rPr>
            <w:color w:val="24618E"/>
            <w:u w:val="single"/>
          </w:rPr>
          <w:t>Wang and Javidi, 2017, §III, Theorem 1</w:t>
        </w:r>
      </w:hyperlink>
      <w:r>
        <w:t>.</w:t>
      </w:r>
    </w:p>
    <w:p>
      <w:pPr/>
      <w:r>
        <w:t xml:space="preserve">Abe et al. combine MPC and sparse optimisation for satellite bandwidth control and report reduced bandwidth loss and fewer control actions relative to conventional inflexible allocation. The accessible abstract establishes a satellite precedent for considering control effort; it supplies no verified numerical saving, cadence, or decision-time benchmark. </w:t>
      </w:r>
      <w:hyperlink r:id="rId16">
        <w:r>
          <w:rPr>
            <w:color w:val="24618E"/>
            <w:u w:val="single"/>
          </w:rPr>
          <w:t>Abe et al., 2018</w:t>
        </w:r>
      </w:hyperlink>
      <w:r>
        <w:t>.</w:t>
      </w:r>
    </w:p>
    <w:p>
      <w:pPr/>
      <w:r>
        <w:t xml:space="preserve">Beam-operation and planning clocks must be separated. Aidos uses 30 ms beam-hopping slots and a 600 ms cycle, while its 50-iteration planning runs average 9.298–22.952 s across four scenarios. The authors compare planning time with a roughly 300 s visibility window. This supports the distinction between fast scheduled beam operation and slower supervisory planning; it does not establish that a 90 s association hold, or infrequent replanning under every traffic condition, is beneficial. </w:t>
      </w:r>
      <w:hyperlink r:id="rId17">
        <w:r>
          <w:rPr>
            <w:color w:val="24618E"/>
            <w:u w:val="single"/>
          </w:rPr>
          <w:t>Zhao et al., 2026 preprint, §II-C and Table IV</w:t>
        </w:r>
      </w:hyperlink>
      <w:r>
        <w:t>.</w:t>
      </w:r>
    </w:p>
    <w:p>
      <w:pPr/>
      <w:r>
        <w:rPr>
          <w:b/>
        </w:rPr>
        <w:t>When slowing hurts:</w:t>
      </w:r>
      <w:r>
        <w:t xml:space="preserve"> geometry or load can change before the next intervention; the incumbent can become infeasible; opportunities can expire; and queued demand can wait longer. In V-C there is an additional possibility: the coordinator improves a configuration at t, BASE undoes it at t+1, and the coordinator restores it at t+3. Fewer coordinator calls therefore need not mean fewer physical moves.</w:t>
      </w:r>
    </w:p>
    <w:p>
      <w:pPr/>
      <w:r>
        <w:rPr>
          <w:b/>
        </w:rPr>
        <w:t>Defence of the sealed value:</w:t>
      </w:r>
      <w:r>
        <w:t xml:space="preserve"> every-third-step intervention creates a clear reduction from 30 to 10 coordinator calls, with all BASE decisions retained. That is an interpretable computational/intensity contrast. It is periodic intervention gating, not event-triggered control. No direct primary study identified here establishes its pooled-EE benefit. Report observed handovers and system joules separately from computational latency; reduced CPU work is not automatically a reduction in the sealed network-energy denominator.</w:t>
      </w:r>
    </w:p>
    <w:p>
      <w:pPr>
        <w:pStyle w:val="Heading1"/>
      </w:pPr>
      <w:r>
        <w:t>3. Acceptance margins and deployment shields</w:t>
      </w:r>
    </w:p>
    <w:p>
      <w:pPr/>
      <w:r>
        <w:t>“Only act when predicted improvement exceeds a margin” can mean three different things: an economic switching-cost threshold; an uncertainty allowance; or a small engineering deadband. The first requires a priced cost, the second an error model or validated bound, and the third only an explicitly limited interpretation. V-M belongs to the third category unless additional evidence already establishes calibration.</w:t>
      </w:r>
    </w:p>
    <w:p>
      <w:pPr/>
      <w:r>
        <w:t xml:space="preserve">Wabersich and Zeilinger’s predictive safety filter modifies a learning controller’s proposal when needed to preserve constraints. Its guarantees rely on uncertainty descriptions, constraint tightening and backup trajectories to a terminal safe set; §4.3 connects design parameters to tolerated model error and conservatism. C3-S’s current nominal served-count guard lacks those ingredients and cannot inherit the guarantee. </w:t>
      </w:r>
      <w:hyperlink r:id="rId18">
        <w:r>
          <w:rPr>
            <w:color w:val="24618E"/>
            <w:u w:val="single"/>
          </w:rPr>
          <w:t>Wabersich and Zeilinger, Automatica 2021, §§4.1–4.3</w:t>
        </w:r>
      </w:hyperlink>
      <w:r>
        <w:t>.</w:t>
      </w:r>
    </w:p>
    <w:p>
      <w:pPr/>
      <w:r>
        <w:t xml:space="preserve">SPIBB instead restricts deviations from a baseline in poorly supported state–action regions; its confidence and permissible performance-loss parameters determine data-support requirements. That is policy-level uncertainty control, not a fixed percentage of nominal bits. Its empirical comparisons also involve parameter exploration, so they are not evidence that a particular constant was validated without outcome tuning. </w:t>
      </w:r>
      <w:hyperlink r:id="rId19">
        <w:r>
          <w:rPr>
            <w:color w:val="24618E"/>
            <w:u w:val="single"/>
          </w:rPr>
          <w:t>Laroche, Trichelair and Tachet des Combes, ICML 2019, §§2.1–2.3, 3</w:t>
        </w:r>
      </w:hyperlink>
      <w:r>
        <w:t xml:space="preserve">. Formal RL shielding enforces a supplied temporal specification, likewise distinct from accepting positive predicted economic surplus. </w:t>
      </w:r>
      <w:hyperlink r:id="rId20">
        <w:r>
          <w:rPr>
            <w:color w:val="24618E"/>
            <w:u w:val="single"/>
          </w:rPr>
          <w:t>Alshiekh et al., AAAI 2018</w:t>
        </w:r>
      </w:hyperlink>
      <w:r>
        <w:t>.</w:t>
      </w:r>
    </w:p>
    <w:p>
      <w:pPr/>
      <w:r>
        <w:rPr>
          <w:b/>
        </w:rPr>
        <w:t>What the fixed margin actually establishes.</w:t>
      </w:r>
      <w:r>
        <w:t xml:space="preserve"> Let the predicted score advantage be ΔF̂ and suppose, hypothetically, that score errors for candidate x and BASE b are bounded by εx and εb. Then the true same-state advantage satisfies ΔF ≥ ΔF̂ − εx − εb. An accepted margin m protects the sign only if it exceeds the combined error allowance; unmodelled downstream costs require further allowance. This is an algebraic condition, not evidence that such bounds hold here. Rank correlation is not an error bound.</w:t>
      </w:r>
    </w:p>
    <w:p>
      <w:pPr/>
      <w:r>
        <w:t>File 01 fixes m = B̂(b)/1000, including m = 0 when BASE nominal bits are zero. Its honest justification is a dimensionally consistent, state-scaled, small surplus buffer whose coefficient is declared once. It is 0.1% of nominal BASE bits—not a 0.1% guaranteed EE improvement, a measured handover cost, or a confidence level. Report how often it rejects lite’s winner and the magnitude of accepted/rejected nominal advantages, using the already required receipts. Do not retrospectively calibrate it from this panel or imply that the literature chose it.</w:t>
      </w:r>
    </w:p>
    <w:p>
      <w:pPr>
        <w:pStyle w:val="Heading1"/>
      </w:pPr>
      <w:r>
        <w:t>4. Persistence, link lifetime and visibility pricing</w:t>
      </w:r>
    </w:p>
    <w:p>
      <w:pPr/>
      <w:r>
        <w:t xml:space="preserve">Visibility-aware association is well established, but staying longest is not synonymous with serving efficiently. Zhou et al. combine normalised remaining visibility, available backhaul capacity and an incumbent-link factor. At 800 satellites and 15 ground stations, the full method reports about 200 versus 159 Gbit/s backhaul capacity against maximum-GSL-capacity selection. However, increasing the lifetime weight above 0.6 makes capacity worse and handovers more frequent: it repeatedly favours newly arriving, long-lived satellites near coverage edges. Their selected weights are 0.64 capacity, 0.16 lifetime and 0.20 stay, and were explored empirically. This is feeder-link capacity evidence, not pooled EE or a prescription for κ. </w:t>
      </w:r>
      <w:hyperlink r:id="rId21">
        <w:r>
          <w:rPr>
            <w:color w:val="24618E"/>
            <w:u w:val="single"/>
          </w:rPr>
          <w:t>Zhou et al., 2023, Eqs. 19–22 and Figs. 8–9</w:t>
        </w:r>
      </w:hyperlink>
      <w:r>
        <w:t>.</w:t>
      </w:r>
    </w:p>
    <w:p>
      <w:pPr/>
      <w:r>
        <w:rPr>
          <w:b/>
        </w:rPr>
        <w:t>V-P measures truncated nominal persistence.</w:t>
      </w:r>
      <w:r>
        <w:t xml:space="preserve"> File 01’s “V-P 的 joint χ” defines χ̂ as the average of absorbing survival indicators over H future endpoints. At H = 3, survival at all offsets gives χ̂ = 1; survival only at the first gives 1/3; failure before the first gives 0. Thus it measures a fraction of future endpoints survived under one deterministic projection. It is not an estimated probability of survival under fading, a complete visibility duration, or a forecast of future joint interference.</w:t>
      </w:r>
    </w:p>
    <w:p>
      <w:pPr/>
      <w:r>
        <w:t>The penalty’s dimensions are consistent. Holding everything else fixed, one extra user changing from χ̂ = 1 to 0 adds 10.097071 Gbit-equivalent to the objective penalty. At H = 3, losing one previously surviving endpoint adds κ/3 = 3.365690 Gbit-equivalent. Dividing the full κ by η_ref gives 81.378 J-equivalent; this is only an objective exchange rate, not a joule charge paid by the simulator. These values are arithmetic from the sealed constants.</w:t>
      </w:r>
    </w:p>
    <w:p>
      <w:pPr/>
      <w:r>
        <w:rPr>
          <w:b/>
        </w:rPr>
        <w:t>Defence and limitation:</w:t>
      </w:r>
      <w:r>
        <w:t xml:space="preserve"> reusing the C2 scale and offset-average convention prevents a new outcome-selected weight. It does not establish that κ equals the expected delivered-bit loss, switching energy or risk preference appropriate for this coordinator. The three-offset horizon reuses existing machinery and has an explicit 90.24 s maximum projection; it remains an operational probe, not a typical satellite visibility window. Near termination H shrinks and the penalty becomes zero at H = 0, so its effective time interpretation changes across the episode.</w:t>
      </w:r>
    </w:p>
    <w:p>
      <w:pPr/>
      <w:r>
        <w:t>Because V-P changes the ranking objective, it may select a configuration with lower current F than BASE to gain predicted persistence. BASE’s presence in the catalog does not preserve lite’s current-score dominance under a different objective. The unchanged current service guard still applies. This is an intended trade-off to evaluate, not a defect to repair by altering sealed quantities.</w:t>
      </w:r>
    </w:p>
    <w:p>
      <w:pPr>
        <w:pStyle w:val="Heading1"/>
      </w:pPr>
      <w:r>
        <w:t>5. Short-horizon lookahead, computation and model mismatch</w:t>
      </w:r>
    </w:p>
    <w:p>
      <w:pPr/>
      <w:r>
        <w:rPr>
          <w:b/>
        </w:rPr>
        <w:t>Direct predictive LEO association evidence:</w:t>
      </w:r>
      <w:r>
        <w:t xml:space="preserve"> PreHO optimises a weighted handover-count/user-utility objective over 600 s, using 200 three-second slots. Against per-slot Greedy, planning improves the combined objective; Greedy obtains higher user utility but causes more handovers. The inspected text does not provide a reliable percentage gain over Greedy. Runtime stays below 40 s for up to 150 users, per planning interval—not per three-second slot. Its evaluation assumes accurate predictive information; fallback for prediction failures is described without a quantified mismatch experiment. </w:t>
      </w:r>
      <w:hyperlink r:id="rId22">
        <w:r>
          <w:rPr>
            <w:color w:val="24618E"/>
            <w:u w:val="single"/>
          </w:rPr>
          <w:t>He et al., 2026 preprint, §§IV-C, VI-B</w:t>
        </w:r>
      </w:hyperlink>
      <w:r>
        <w:t>.</w:t>
      </w:r>
    </w:p>
    <w:p>
      <w:pPr/>
      <w:r>
        <w:rPr>
          <w:b/>
        </w:rPr>
        <w:t>A closer receding-horizon assignment analogue:</w:t>
      </w:r>
      <w:r>
        <w:t xml:space="preserve"> Holder et al.’s HAAL uses future benefit matrices, executes the first assignment and replans. Their satellite task-allocation experiment uses one-minute steps; longer lookahead improves benefit/consistency with diminishing returns. At six-step lookahead, they report approximately 80 neighbour messages within the available 60 s, not a measured wall-clock solution time. Its assignment constraints and geometric utilities omit C3-S’s joint interference/power physics. </w:t>
      </w:r>
      <w:hyperlink r:id="rId23">
        <w:r>
          <w:rPr>
            <w:color w:val="24618E"/>
            <w:u w:val="single"/>
          </w:rPr>
          <w:t>Holder, Kraisler and Mesbahi, 2025, §§IV–V</w:t>
        </w:r>
      </w:hyperlink>
      <w:r>
        <w:t>.</w:t>
      </w:r>
    </w:p>
    <w:p>
      <w:pPr/>
      <w:r>
        <w:rPr>
          <w:b/>
        </w:rPr>
        <w:t>The strongest model-mismatch warning comes from beam scheduling.</w:t>
      </w:r>
      <w:r>
        <w:t xml:space="preserve"> Fastenbauer et al. directly compare estimated and actual interference distributions. Underestimation causes inadequate allocation and outages; overestimation wastes power or makes the optimisation infeasible. Their interference-aware greedy method can outperform a more elaborate GEO-derived model. Exact seven-beam search exceeds 200 s; with 19 beams/25 users, greedy takes about 60 ms and the adapted-GEO method 73 ms, against an intended 10 ms beam-hopping cycle. Those measurements do not establish meeting that deadline. This is beam-hopping optimisation, not MPC. </w:t>
      </w:r>
      <w:hyperlink r:id="rId24">
        <w:r>
          <w:rPr>
            <w:color w:val="24618E"/>
            <w:u w:val="single"/>
          </w:rPr>
          <w:t>Fastenbauer et al., IEEE OJCOMS 2025, §§V-C, V-E.2</w:t>
        </w:r>
      </w:hyperlink>
      <w:r>
        <w:t>.</w:t>
      </w:r>
    </w:p>
    <w:p>
      <w:pPr/>
      <w:r>
        <w:rPr>
          <w:b/>
        </w:rPr>
        <w:t>V-L2’s exact interpretation:</w:t>
      </w:r>
      <w:r>
        <w:t xml:space="preserve"> file 01, “V-L2 投影,” evaluates Jt(x) = Ft(x) + F(t+1, BASE after x), using a stationary-user nominal shadow, then commits only x. The smallest extra horizon makes next-step tracking, occupancy and handover consequences visible while bounding computation. But it optimises only the first configuration; the next action is prescribed by BASE. There is no full BASE value-to-go, terminal value, future coordinator optimisation or next-step service constraint. Consequently, neither policy-improvement theorems nor recursive-feasibility claims follow. A two-interval preference may also accept a loss in current F.</w:t>
      </w:r>
    </w:p>
    <w:p>
      <w:pPr/>
      <w:r>
        <w:rPr>
          <w:b/>
        </w:rPr>
        <w:t>Cost must be reported end to end.</w:t>
      </w:r>
      <w:r>
        <w:t xml:space="preserve"> For N distinct candidates, V-L2 requires roughly 2N interval evaluations away from termination, plus candidate-specific cloning, propagation, mask rebuilding and Q12 inference. “2× evaluations” is not “2× total latency.” File 01 already requires mean/median/p95/max, deadline-exceedance fraction, candidate census and peak memory; those are appropriate. Mean latency selects progression under the sealed rule, while the tail and active-step latency determine what deployability claims are justified.</w:t>
      </w:r>
    </w:p>
    <w:p>
      <w:pPr/>
      <w:r>
        <w:rPr>
          <w:b/>
        </w:rPr>
        <w:t>Report two different model gaps.</w:t>
      </w:r>
      <w:r>
        <w:t xml:space="preserve"> The contracted diagnostics can assess nominal-to-realised fading error. The earlier S0 probe in file 04 reports mean rank correlation 0.910408, but only 1.667%/29.167% agreement with the U1/J1 oracle choices. The choice comparisons also involve different candidate catalogs, so they do not isolate channel-model mismatch. Neither statistic bounds top-choice regret or signed gain error. Broader model misspecification—wrong power law, gain calibration, traffic or mobility model—remains largely untested when selection and execution share simulator equations. State “nominal model with no realised-fading input,” not “validated real-world channel model.” Use the contracted nominal/realised diagnostics, clearly distinguishing paired immediate deviations from differences between already-diverged trajectories. No added mismatch arm is proposed here.</w:t>
      </w:r>
    </w:p>
    <w:p>
      <w:pPr>
        <w:pStyle w:val="Heading1"/>
      </w:pPr>
      <w:r>
        <w:t>6. Multi-arm development screens and honest multiplicity</w:t>
      </w:r>
    </w:p>
    <w:p>
      <w:pPr/>
      <w:r>
        <w:rPr>
          <w:b/>
        </w:rPr>
        <w:t>Keep the declared decision rule and label it accurately.</w:t>
      </w:r>
      <w:r>
        <w:t xml:space="preserve"> Nine total arms produce eight coordinator-versus-BASE contrasts, with four independent world clusters and three crossed frozen lineages. SUPPORT means the observed panel satisfies strict pooled EE improvement and the allowed service-count difference. It is not a significance test, demonstrated service noninferiority, or an estimate of the probability of success. NO_SUPPORT ends this matrix’s progression; it does not prove zero effect or disprove a mechanism.</w:t>
      </w:r>
    </w:p>
    <w:p>
      <w:pPr/>
      <w:r>
        <w:t xml:space="preserve">Preregistration separates predictions from explanations developed using known evidence; it does not erase earlier exposure. File 01 correctly requires disclosure of reused worlds and prior diagnostics. Call this a predeclared development screen on the stated panel, followed by separately frozen new-world evaluation. </w:t>
      </w:r>
      <w:hyperlink r:id="rId25">
        <w:r>
          <w:rPr>
            <w:color w:val="24618E"/>
            <w:u w:val="single"/>
          </w:rPr>
          <w:t>Nosek et al., 2018</w:t>
        </w:r>
      </w:hyperlink>
      <w:r>
        <w:t xml:space="preserve">. Finite-sample selection can overfit even when candidates are all declared in advance; choosing the lowest-latency SUPPORTer avoids maximising observed EE, but still conditions on passing the EE/service filter. Call it the progression priority, not the best-performing controller. </w:t>
      </w:r>
      <w:hyperlink r:id="rId26">
        <w:r>
          <w:rPr>
            <w:color w:val="24618E"/>
            <w:u w:val="single"/>
          </w:rPr>
          <w:t>Cawley and Talbot, 2010</w:t>
        </w:r>
      </w:hyperlink>
      <w:r>
        <w:t>.</w:t>
      </w:r>
    </w:p>
    <w:p>
      <w:pPr/>
      <w:r>
        <w:rPr>
          <w:b/>
        </w:rPr>
        <w:t>Report the experimental units visibly.</w:t>
      </w:r>
      <w:r>
        <w:t xml:space="preserve"> Show every arm’s pooled bits, joules, EE and service, the complete 4 × 3 world–lineage panel, and paired world-level effects. Shared exogenous fields support matched comparisons; they do not turn user-steps or twelve crossed cells into independent world replications. The evolving states should differ under closed-loop control; that is part of each policy’s effect, not a reason to reset trajectories to BASE.</w:t>
      </w:r>
    </w:p>
    <w:p>
      <w:pPr/>
      <w:r>
        <w:t xml:space="preserve">For supplementary uncertainty conditional on the three frozen lineages, resample entire worlds, carrying all lineages, all arms and full episodes together; recompute ratios from resampled bits and joules. Do not average episode EE or resample arms independently. Generalisation over newly trained lineages requires acknowledging the second crossed factor; ordinary IID cell resampling ignores that dependence. The crossed-array bootstrap literature supports this distinction, but not reliable coverage with only four and three factor levels. </w:t>
      </w:r>
      <w:hyperlink r:id="rId27">
        <w:r>
          <w:rPr>
            <w:color w:val="24618E"/>
            <w:u w:val="single"/>
          </w:rPr>
          <w:t>Owen and Eckles, 2012</w:t>
        </w:r>
      </w:hyperlink>
      <w:r>
        <w:t>.</w:t>
      </w:r>
    </w:p>
    <w:p>
      <w:pPr/>
      <w:r>
        <w:t xml:space="preserve">Treat such four-world resampling as descriptive sensitivity. Agarwal et al. explicitly find that bootstrap intervals with three runs underestimate uncertainty; their favourable coverage example uses ten runs per task across an Atari task suite, not this crossed four-world panel. Their IQM recommendation must not replace the sealed EE estimand. </w:t>
      </w:r>
      <w:hyperlink r:id="rId28">
        <w:r>
          <w:rPr>
            <w:color w:val="24618E"/>
            <w:u w:val="single"/>
          </w:rPr>
          <w:t>Agarwal et al., NeurIPS 2021, §4.1, Fig. 6</w:t>
        </w:r>
      </w:hyperlink>
      <w:r>
        <w:t xml:space="preserve">. Colas et al. also demonstrate that power and test calibration depend materially on seed count and distributional assumptions. </w:t>
      </w:r>
      <w:hyperlink r:id="rId29">
        <w:r>
          <w:rPr>
            <w:color w:val="24618E"/>
            <w:u w:val="single"/>
          </w:rPr>
          <w:t>Colas, Sigaud and Oudeyer, 2018</w:t>
        </w:r>
      </w:hyperlink>
      <w:r>
        <w:t>.</w:t>
      </w:r>
    </w:p>
    <w:p>
      <w:pPr/>
      <w:r>
        <w:t>Two arithmetic examples show the information limit. Four draws from four worlds yield only 35 distinct bootstrap multiplicity vectors. Under an independent fair-sign null, even four positive nonzero world effects give a one-sided sign-test p = 1/16 = 0.0625. The latter tests directional consistency, not pooled EE, and must not be retrofitted as the kill gate.</w:t>
      </w:r>
    </w:p>
    <w:p>
      <w:pPr/>
      <w:r>
        <w:rPr>
          <w:b/>
        </w:rPr>
        <w:t>Multiplicity statement:</w:t>
      </w:r>
      <w:r>
        <w:t xml:space="preserve"> “All eight contrasts are reported. This development screen provides no familywise-error or false-discovery-rate guarantee.” Do not attach an eight-independent-tests calculation to this gate: contrasts share BASE and worlds, and SUPPORT is not a 5%-level test. The later FULL2 ladder must earn any confirmatory label through its separately sealed estimand, comparisons and stopping rules; new worlds alone do not resolve repeated looks. None of these reporting requirements changes the present progression rule.</w:t>
      </w:r>
    </w:p>
    <w:p>
      <w:pPr>
        <w:pStyle w:val="Heading1"/>
      </w:pPr>
      <w:r>
        <w:t>7. Claims in files 01–02 that need qualification</w:t>
      </w:r>
    </w:p>
    <w:p>
      <w:pPr/>
      <w:r>
        <w:rPr>
          <w:b/>
        </w:rPr>
        <w:t>The two catalogs do not isolate coalition causality.</w:t>
      </w:r>
      <w:r>
        <w:t xml:space="preserve"> File 01, “Lite catalog” and the V-J/V-U rows, retains singleton origins in evacuations; those can duplicate unilateral moves. Evacuation destinations are unrestricted by Q12 top-2, whereas V-U has at most one alternative per user. Thus their differences combine group-move availability with proposal coverage. S0-J versus S0-U is not a pure estimate of joint interaction value, and V-U is not a replication of the full unilateral S0 catalog. The explicit caveats in 01 are correct and should survive paper compression.</w:t>
      </w:r>
    </w:p>
    <w:p>
      <w:pPr/>
      <w:r>
        <w:rPr>
          <w:b/>
        </w:rPr>
        <w:t>MONE is not evidence for this margin magnitude.</w:t>
      </w:r>
      <w:r>
        <w:t xml:space="preserve"> File 02 maps “MONE 28/60 joint reversals + R7 −0.049%” to V-M. File 06 §1 instead describes MONE’s reversal from individually scored effects to their simultaneous composition. Complete-configuration evaluation addresses that non-additivity at the nominal-model level; a deadband cannot generally repair it. R7’s small pooled deficit is not a distribution of per-decision prediction errors or downstream costs. Both motivate caution, but neither calibrates 0.1% of current BASE bits. The margin/shield distinction in §3 is the relevant literature boundary.</w:t>
      </w:r>
    </w:p>
    <w:p>
      <w:pPr/>
      <w:r>
        <w:rPr>
          <w:b/>
        </w:rPr>
        <w:t>V0.14 does not directly identify lifetime risk.</w:t>
      </w:r>
      <w:r>
        <w:t xml:space="preserve"> File 02 links V-P to “V0.14 coordination/support events and OPS-3 pricing.” File 06 §1, row 7 attributes support failures to other users’ same-slot actions missing from the per-user information. Link-local future survival is a different object. V-P is a plausible temporal-risk probe, but calling it the established remedy for that observability failure overstates the mapping. File 01 correctly warns that χ does not measure joint interference.</w:t>
      </w:r>
    </w:p>
    <w:p>
      <w:pPr/>
      <w:r>
        <w:rPr>
          <w:b/>
        </w:rPr>
        <w:t>“One-step myopia” needs a precise historical object.</w:t>
      </w:r>
      <w:r>
        <w:t xml:space="preserve"> File 02’s “PNFE/C-B one-step myopia” is too broad if read as no earlier projection of any kind: file 09, item 7 says PNFE already had future offsets, while lacking evolving mobility/dwell and subsequent joint decisions. The defensible distinction is between a static projected counterfactual and a state-conditioned next-step BASE continuation. V-L2 tests the latter imperfectly, with stationary users and only one additional interval.</w:t>
      </w:r>
    </w:p>
    <w:p>
      <w:pPr/>
      <w:r>
        <w:rPr>
          <w:b/>
        </w:rPr>
        <w:t>“Median/no-fading” is a convention, not a statistical estimator.</w:t>
      </w:r>
      <w:r>
        <w:t xml:space="preserve"> File 01 uses unit Rician gain and zero-dB shadowing. This specifies a deterministic reference channel; it does not generally make the complete channel its median or make predicted bits equal expected bits. Nonlinear rate, interference and feasibility calculations prevent that inference. Information isolation is compatible with deployment in principle, but is not evidence of model calibration or robustness, as the safety-filter and beam-model sources above demonstrate.</w:t>
      </w:r>
    </w:p>
    <w:p>
      <w:pPr/>
      <w:r>
        <w:rPr>
          <w:b/>
        </w:rPr>
        <w:t>Fixed-price surplus is a surrogate for pooled EE.</w:t>
      </w:r>
      <w:r>
        <w:t xml:space="preserve"> File 01’s “共同規則” fixes η_ref. For positive total energies, actual pooled EE improves exactly when ΔB − η_BASE ΔE &gt; 0, with η_BASE from the same complete comparison. A historical η_ref need not equal that baseline, and each arm’s current-state BASE is not the BASE arm’s future trajectory. Thus local nominal surplus improvement cannot guarantee the endpoint. Fractional-programming methods distinguish a ratio objective from fixed-parameter surrogate subproblems. </w:t>
      </w:r>
      <w:hyperlink r:id="rId30">
        <w:r>
          <w:rPr>
            <w:color w:val="24618E"/>
            <w:u w:val="single"/>
          </w:rPr>
          <w:t>Shen and Yu, 2018</w:t>
        </w:r>
      </w:hyperlink>
      <w:r>
        <w:t>. This limits the claim; it does not call for changing η_ref.</w:t>
      </w:r>
    </w:p>
    <w:p>
      <w:pPr/>
      <w:r>
        <w:rPr>
          <w:b/>
        </w:rPr>
        <w:t>The development ceiling is well stated.</w:t>
      </w:r>
      <w:r>
        <w:t xml:space="preserve"> File 01 already says “不能單憑 arm 結果證明機制因果,” discloses eight contrasts/four clusters, and rejects efficacy claims. Preserve those statements. File 02’s “nine arms vs one BASE” should be read as nine arms total, not nine separate comparisons. Mean-latency priority remains an operational selection criterion; CPU contention and latency tails limit claims that its winner is intrinsically fastest. The literature challenges stronger interpretations, not the legitimacy of this clearly bounded screen.</w:t>
      </w:r>
    </w:p>
    <w:p>
      <w:pPr>
        <w:pStyle w:val="Heading1"/>
        <w:pageBreakBefore/>
      </w:pPr>
      <w:r>
        <w:t>Annotated primary sources</w:t>
      </w:r>
    </w:p>
    <w:p>
      <w:pPr>
        <w:pStyle w:val="SourceEntry"/>
      </w:pPr>
      <w:r>
        <w:t>Each entry gives its particular relevance; citations in the analysis point to the supporting text. Bibliographic dates refer to the cited publication or preprint, not search-engine crawl dates.</w:t>
      </w:r>
    </w:p>
    <w:p>
      <w:pPr>
        <w:pStyle w:val="SourceEntry"/>
      </w:pPr>
      <w:r>
        <w:rPr>
          <w:b/>
        </w:rPr>
        <w:t>ETSI/3GPP (April 2025).</w:t>
      </w:r>
      <w:r>
        <w:t xml:space="preserve"> </w:t>
      </w:r>
      <w:hyperlink r:id="rId11">
        <w:r>
          <w:rPr>
            <w:color w:val="24618E"/>
            <w:u w:val="single"/>
          </w:rPr>
          <w:t>TS 38.331 v18.5.1, NR Radio Resource Control protocol specification</w:t>
        </w:r>
      </w:hyperlink>
      <w:r>
        <w:t xml:space="preserve">, Release 18, §6.3.2, Hysteresis and TimeToTrigger IEs. </w:t>
      </w:r>
      <w:r>
        <w:rPr>
          <w:b/>
        </w:rPr>
        <w:t>Relevance:</w:t>
      </w:r>
      <w:r>
        <w:t xml:space="preserve"> authoritative timer definitions and permitted magnitudes.</w:t>
      </w:r>
    </w:p>
    <w:p>
      <w:pPr>
        <w:pStyle w:val="SourceEntry"/>
      </w:pPr>
      <w:r>
        <w:rPr>
          <w:b/>
        </w:rPr>
        <w:t>Seeram, S. S. S. G., et al. (28 January 2025).</w:t>
      </w:r>
      <w:r>
        <w:t xml:space="preserve"> </w:t>
      </w:r>
      <w:hyperlink r:id="rId12">
        <w:r>
          <w:rPr>
            <w:color w:val="24618E"/>
            <w:u w:val="single"/>
          </w:rPr>
          <w:t>Handover Delay Minimization in Non-Terrestrial Networks: Impact of Open RAN Functional Splits</w:t>
        </w:r>
      </w:hyperlink>
      <w:r>
        <w:t xml:space="preserve">, arXiv:2501.17331v1, author manuscript. </w:t>
      </w:r>
      <w:r>
        <w:rPr>
          <w:b/>
        </w:rPr>
        <w:t>Relevance:</w:t>
      </w:r>
      <w:r>
        <w:t xml:space="preserve"> direct LEO evidence that delaying handovers can increase failures.</w:t>
      </w:r>
    </w:p>
    <w:p>
      <w:pPr>
        <w:pStyle w:val="SourceEntry"/>
      </w:pPr>
      <w:r>
        <w:rPr>
          <w:b/>
        </w:rPr>
        <w:t>Aldubaikhy, K. (26 February 2026).</w:t>
      </w:r>
      <w:r>
        <w:t xml:space="preserve"> </w:t>
      </w:r>
      <w:hyperlink r:id="rId13">
        <w:r>
          <w:rPr>
            <w:color w:val="24618E"/>
            <w:u w:val="single"/>
          </w:rPr>
          <w:t>A Low-Complexity Hybrid Handover Strategy for LEO NTN: Balancing Stability and Link Quality</w:t>
        </w:r>
      </w:hyperlink>
      <w:r>
        <w:t xml:space="preserve">, Sensors 26(5), 1449. </w:t>
      </w:r>
      <w:r>
        <w:rPr>
          <w:b/>
        </w:rPr>
        <w:t>Relevance:</w:t>
      </w:r>
      <w:r>
        <w:t xml:space="preserve"> quantifies the availability and SINR sacrificed for fewer handovers.</w:t>
      </w:r>
    </w:p>
    <w:p>
      <w:pPr>
        <w:pStyle w:val="SourceEntry"/>
      </w:pPr>
      <w:r>
        <w:rPr>
          <w:b/>
        </w:rPr>
        <w:t>Park, J., Jung, S. Y., Kim, S.-L., Bennis, M., and Debbah, M. (2016).</w:t>
      </w:r>
      <w:r>
        <w:t xml:space="preserve"> </w:t>
      </w:r>
      <w:hyperlink r:id="rId14">
        <w:r>
          <w:rPr>
            <w:color w:val="24618E"/>
            <w:u w:val="single"/>
          </w:rPr>
          <w:t>User-Centric Mobility Management in Ultra-Dense Cellular Networks under Spatio-Temporal Dynamics</w:t>
        </w:r>
      </w:hyperlink>
      <w:r>
        <w:t xml:space="preserve">, author manuscript, arXiv:1606.05673. </w:t>
      </w:r>
      <w:r>
        <w:rPr>
          <w:b/>
        </w:rPr>
        <w:t>Relevance:</w:t>
      </w:r>
      <w:r>
        <w:t xml:space="preserve"> an EE-based association-timing trade-off with explicit transfer limits.</w:t>
      </w:r>
    </w:p>
    <w:p>
      <w:pPr>
        <w:pStyle w:val="SourceEntry"/>
      </w:pPr>
      <w:r>
        <w:rPr>
          <w:b/>
        </w:rPr>
        <w:t>Wang, C.-H., and Javidi, T. (2017).</w:t>
      </w:r>
      <w:r>
        <w:t xml:space="preserve"> </w:t>
      </w:r>
      <w:hyperlink r:id="rId15">
        <w:r>
          <w:rPr>
            <w:color w:val="24618E"/>
            <w:u w:val="single"/>
          </w:rPr>
          <w:t>Adaptive Policies for Scheduling with Reconfiguration Delay: An End-to-End Solution for All-Optical Data Centers</w:t>
        </w:r>
      </w:hyperlink>
      <w:r>
        <w:t xml:space="preserve">, IEEE/ACM Transactions on Networking 25, 1555–1568; DOI 10.1109/TNET.2016.2644617. </w:t>
      </w:r>
      <w:r>
        <w:rPr>
          <w:b/>
        </w:rPr>
        <w:t>Relevance:</w:t>
      </w:r>
      <w:r>
        <w:t xml:space="preserve"> formal threshold-triggered scheduling with a physical switching delay.</w:t>
      </w:r>
    </w:p>
    <w:p>
      <w:pPr>
        <w:pStyle w:val="SourceEntry"/>
      </w:pPr>
      <w:r>
        <w:rPr>
          <w:b/>
        </w:rPr>
        <w:t>Abe, Y., Tsuji, H., Miura, A., and Adachi, S. (December 2018).</w:t>
      </w:r>
      <w:r>
        <w:t xml:space="preserve"> </w:t>
      </w:r>
      <w:hyperlink r:id="rId16">
        <w:r>
          <w:rPr>
            <w:color w:val="24618E"/>
            <w:u w:val="single"/>
          </w:rPr>
          <w:t>Frequency Resource Management Based on Model Predictive Control for Satellite Communications System</w:t>
        </w:r>
      </w:hyperlink>
      <w:r>
        <w:t xml:space="preserve">, IEICE Transactions E101.A(12), 2434–2445; DOI 10.1587/transfun.E101.A.2434. </w:t>
      </w:r>
      <w:r>
        <w:rPr>
          <w:b/>
        </w:rPr>
        <w:t>Relevance:</w:t>
      </w:r>
      <w:r>
        <w:t xml:space="preserve"> satellite MPC and sparse control reduce allocation loss/control actions; abstract-level evidence only.</w:t>
      </w:r>
    </w:p>
    <w:p>
      <w:pPr>
        <w:pStyle w:val="SourceEntry"/>
      </w:pPr>
      <w:r>
        <w:rPr>
          <w:b/>
        </w:rPr>
        <w:t>Zhao, L., Chen, Z., Qiu, K., and Gao, Y. (12 June 2026).</w:t>
      </w:r>
      <w:r>
        <w:t xml:space="preserve"> </w:t>
      </w:r>
      <w:hyperlink r:id="rId17">
        <w:r>
          <w:rPr>
            <w:color w:val="24618E"/>
            <w:u w:val="single"/>
          </w:rPr>
          <w:t>Aidos: A Hybrid Optimization Algorithm for Beam Hopping Scheduling in NGSO Mega-Constellations</w:t>
        </w:r>
      </w:hyperlink>
      <w:r>
        <w:t xml:space="preserve">, arXiv:2606.14151v1, preprint. </w:t>
      </w:r>
      <w:r>
        <w:rPr>
          <w:b/>
        </w:rPr>
        <w:t>Relevance:</w:t>
      </w:r>
      <w:r>
        <w:t xml:space="preserve"> separates fast beam slots from slower schedule-computation time.</w:t>
      </w:r>
    </w:p>
    <w:p>
      <w:pPr>
        <w:pStyle w:val="SourceEntry"/>
      </w:pPr>
      <w:r>
        <w:rPr>
          <w:b/>
        </w:rPr>
        <w:t>Wabersich, K. P., and Zeilinger, M. N. (2021).</w:t>
      </w:r>
      <w:r>
        <w:t xml:space="preserve"> </w:t>
      </w:r>
      <w:hyperlink r:id="rId18">
        <w:r>
          <w:rPr>
            <w:color w:val="24618E"/>
            <w:u w:val="single"/>
          </w:rPr>
          <w:t>A Predictive Safety Filter for Learning-Based Control of Constrained Nonlinear Dynamical Systems</w:t>
        </w:r>
      </w:hyperlink>
      <w:r>
        <w:t xml:space="preserve">, Automatica 129, 109597; DOI 10.1016/j.automatica.2021.109597. </w:t>
      </w:r>
      <w:r>
        <w:rPr>
          <w:b/>
        </w:rPr>
        <w:t>Relevance:</w:t>
      </w:r>
      <w:r>
        <w:t xml:space="preserve"> specifies the uncertainty and backup conditions missing from a simple nominal guard.</w:t>
      </w:r>
    </w:p>
    <w:p>
      <w:pPr>
        <w:pStyle w:val="SourceEntry"/>
      </w:pPr>
      <w:r>
        <w:rPr>
          <w:b/>
        </w:rPr>
        <w:t>Laroche, R., Trichelair, P., and Tachet des Combes, R. (2019).</w:t>
      </w:r>
      <w:r>
        <w:t xml:space="preserve"> </w:t>
      </w:r>
      <w:hyperlink r:id="rId19">
        <w:r>
          <w:rPr>
            <w:color w:val="24618E"/>
            <w:u w:val="single"/>
          </w:rPr>
          <w:t>Safe Policy Improvement with Baseline Bootstrapping</w:t>
        </w:r>
      </w:hyperlink>
      <w:r>
        <w:t xml:space="preserve">, ICML, PMLR 97, 3652–3661. </w:t>
      </w:r>
      <w:r>
        <w:rPr>
          <w:b/>
        </w:rPr>
        <w:t>Relevance:</w:t>
      </w:r>
      <w:r>
        <w:t xml:space="preserve"> baseline protection based on data uncertainty, not an arbitrary utility percentage.</w:t>
      </w:r>
    </w:p>
    <w:p>
      <w:pPr>
        <w:pStyle w:val="SourceEntry"/>
      </w:pPr>
      <w:r>
        <w:rPr>
          <w:b/>
        </w:rPr>
        <w:t>Alshiekh, M., et al. (2018).</w:t>
      </w:r>
      <w:r>
        <w:t xml:space="preserve"> </w:t>
      </w:r>
      <w:hyperlink r:id="rId20">
        <w:r>
          <w:rPr>
            <w:color w:val="24618E"/>
            <w:u w:val="single"/>
          </w:rPr>
          <w:t>Safe Reinforcement Learning via Shielding</w:t>
        </w:r>
      </w:hyperlink>
      <w:r>
        <w:t xml:space="preserve">, Proceedings of AAAI 32(1). </w:t>
      </w:r>
      <w:r>
        <w:rPr>
          <w:b/>
        </w:rPr>
        <w:t>Relevance:</w:t>
      </w:r>
      <w:r>
        <w:t xml:space="preserve"> distinguishes formal specification enforcement from performance re-ranking.</w:t>
      </w:r>
    </w:p>
    <w:p>
      <w:pPr>
        <w:pStyle w:val="SourceEntry"/>
      </w:pPr>
      <w:r>
        <w:rPr>
          <w:b/>
        </w:rPr>
        <w:t>Zhou, Y., Liu, J., Zhang, R., Ouyang, M., and Huang, T. (8 June 2023).</w:t>
      </w:r>
      <w:r>
        <w:t xml:space="preserve"> </w:t>
      </w:r>
      <w:hyperlink r:id="rId21">
        <w:r>
          <w:rPr>
            <w:color w:val="24618E"/>
            <w:u w:val="single"/>
          </w:rPr>
          <w:t>A Novel Feeder Link Handover Strategy for Backhaul in LEO Satellite Networks</w:t>
        </w:r>
      </w:hyperlink>
      <w:r>
        <w:t xml:space="preserve">, Sensors 23(12), 5448; DOI 10.3390/s23125448. MDPI-provided full text inspected. </w:t>
      </w:r>
      <w:r>
        <w:rPr>
          <w:b/>
        </w:rPr>
        <w:t>Relevance:</w:t>
      </w:r>
      <w:r>
        <w:t xml:space="preserve"> combines lifetime, capacity and stay preference, and exposes overpricing of lifetime.</w:t>
      </w:r>
    </w:p>
    <w:p>
      <w:pPr>
        <w:pStyle w:val="SourceEntry"/>
      </w:pPr>
      <w:r>
        <w:rPr>
          <w:b/>
        </w:rPr>
        <w:t>He, X., Ying, Z., You, C., and Gao, Y. (9 March 2026).</w:t>
      </w:r>
      <w:r>
        <w:t xml:space="preserve"> </w:t>
      </w:r>
      <w:hyperlink r:id="rId22">
        <w:r>
          <w:rPr>
            <w:color w:val="24618E"/>
            <w:u w:val="single"/>
          </w:rPr>
          <w:t>PreHO: Predictive Handover for LEO Satellite Networks</w:t>
        </w:r>
      </w:hyperlink>
      <w:r>
        <w:t xml:space="preserve">, arXiv:2603.07987v1, preprint. </w:t>
      </w:r>
      <w:r>
        <w:rPr>
          <w:b/>
        </w:rPr>
        <w:t>Relevance:</w:t>
      </w:r>
      <w:r>
        <w:t xml:space="preserve"> direct future-aware LEO association comparison, with ideal-prediction and runtime caveats.</w:t>
      </w:r>
    </w:p>
    <w:p>
      <w:pPr>
        <w:pStyle w:val="SourceEntry"/>
      </w:pPr>
      <w:r>
        <w:rPr>
          <w:b/>
        </w:rPr>
        <w:t>Holder, J., Kraisler, S., and Mesbahi, M. (2025).</w:t>
      </w:r>
      <w:r>
        <w:t xml:space="preserve"> </w:t>
      </w:r>
      <w:hyperlink r:id="rId23">
        <w:r>
          <w:rPr>
            <w:color w:val="24618E"/>
            <w:u w:val="single"/>
          </w:rPr>
          <w:t>Centralized and Distributed Strategies for Handover-Aware Task Allocation in Satellite Constellations</w:t>
        </w:r>
      </w:hyperlink>
      <w:r>
        <w:t xml:space="preserve">, Journal of Guidance, Control, and Dynamics 48(6), 1201–1210; DOI 10.2514/1.G008363. Author full text inspected. </w:t>
      </w:r>
      <w:r>
        <w:rPr>
          <w:b/>
        </w:rPr>
        <w:t>Relevance:</w:t>
      </w:r>
      <w:r>
        <w:t xml:space="preserve"> receding-horizon satellite assignment; benefits and communication costs depend on horizon.</w:t>
      </w:r>
    </w:p>
    <w:p>
      <w:pPr>
        <w:pStyle w:val="SourceEntry"/>
      </w:pPr>
      <w:r>
        <w:rPr>
          <w:b/>
        </w:rPr>
        <w:t>Fastenbauer, A., El Hadfi, Y., Kaneko, M., Svoboda, P., and Rupp, M. (2025).</w:t>
      </w:r>
      <w:r>
        <w:t xml:space="preserve"> </w:t>
      </w:r>
      <w:hyperlink r:id="rId24">
        <w:r>
          <w:rPr>
            <w:color w:val="24618E"/>
            <w:u w:val="single"/>
          </w:rPr>
          <w:t>LEO Satellite Beam Hopping for Power Consumption Minimization at Different Elevation Angles</w:t>
        </w:r>
      </w:hyperlink>
      <w:r>
        <w:t xml:space="preserve">, IEEE OJCOMS 6, 6930–6952; DOI 10.1109/OJCOMS.2025.3602090. Accepted author manuscript inspected. </w:t>
      </w:r>
      <w:r>
        <w:rPr>
          <w:b/>
        </w:rPr>
        <w:t>Relevance:</w:t>
      </w:r>
      <w:r>
        <w:t xml:space="preserve"> explicit interference-mismatch consequences and algorithm runtimes.</w:t>
      </w:r>
    </w:p>
    <w:p>
      <w:pPr>
        <w:pStyle w:val="SourceEntry"/>
      </w:pPr>
      <w:r>
        <w:rPr>
          <w:b/>
        </w:rPr>
        <w:t>Nosek, B. A., Ebersole, C. R., DeHaven, A. C., and Mellor, D. T. (2018).</w:t>
      </w:r>
      <w:r>
        <w:t xml:space="preserve"> </w:t>
      </w:r>
      <w:hyperlink r:id="rId25">
        <w:r>
          <w:rPr>
            <w:color w:val="24618E"/>
            <w:u w:val="single"/>
          </w:rPr>
          <w:t>The Preregistration Revolution</w:t>
        </w:r>
      </w:hyperlink>
      <w:r>
        <w:t xml:space="preserve">, PNAS 115(11), 2600–2606; DOI 10.1073/pnas.1708274114. </w:t>
      </w:r>
      <w:r>
        <w:rPr>
          <w:b/>
        </w:rPr>
        <w:t>Relevance:</w:t>
      </w:r>
      <w:r>
        <w:t xml:space="preserve"> distinguishes prospective tests from explanations informed by existing evidence.</w:t>
      </w:r>
    </w:p>
    <w:p>
      <w:pPr>
        <w:pStyle w:val="SourceEntry"/>
      </w:pPr>
      <w:r>
        <w:rPr>
          <w:b/>
        </w:rPr>
        <w:t>Cawley, G. C., and Talbot, N. L. C. (2010; foundational exception).</w:t>
      </w:r>
      <w:r>
        <w:t xml:space="preserve"> </w:t>
      </w:r>
      <w:hyperlink r:id="rId26">
        <w:r>
          <w:rPr>
            <w:color w:val="24618E"/>
            <w:u w:val="single"/>
          </w:rPr>
          <w:t>On Over-fitting in Model Selection and Subsequent Selection Bias in Performance Evaluation</w:t>
        </w:r>
      </w:hyperlink>
      <w:r>
        <w:t xml:space="preserve">, JMLR 11, 2079–2107. </w:t>
      </w:r>
      <w:r>
        <w:rPr>
          <w:b/>
        </w:rPr>
        <w:t>Relevance:</w:t>
      </w:r>
      <w:r>
        <w:t xml:space="preserve"> finite-sample selection bias persists without overt outcome-driven redesign.</w:t>
      </w:r>
    </w:p>
    <w:p>
      <w:pPr>
        <w:pStyle w:val="SourceEntry"/>
      </w:pPr>
      <w:r>
        <w:rPr>
          <w:b/>
        </w:rPr>
        <w:t>Owen, A. B., and Eckles, D. (2012; foundational exception).</w:t>
      </w:r>
      <w:r>
        <w:t xml:space="preserve"> </w:t>
      </w:r>
      <w:hyperlink r:id="rId27">
        <w:r>
          <w:rPr>
            <w:color w:val="24618E"/>
            <w:u w:val="single"/>
          </w:rPr>
          <w:t>Bootstrapping Data Arrays of Arbitrary Order</w:t>
        </w:r>
      </w:hyperlink>
      <w:r>
        <w:t xml:space="preserve">, Annals of Applied Statistics 6(3), 895–927; DOI 10.1214/12-AOAS547. </w:t>
      </w:r>
      <w:r>
        <w:rPr>
          <w:b/>
        </w:rPr>
        <w:t>Relevance:</w:t>
      </w:r>
      <w:r>
        <w:t xml:space="preserve"> crossed-factor observations cannot be treated as IID replications.</w:t>
      </w:r>
    </w:p>
    <w:p>
      <w:pPr>
        <w:pStyle w:val="SourceEntry"/>
      </w:pPr>
      <w:r>
        <w:rPr>
          <w:b/>
        </w:rPr>
        <w:t>Agarwal, R., Schwarzer, M., Castro, P. S., Courville, A., and Bellemare, M. G. (2021).</w:t>
      </w:r>
      <w:r>
        <w:t xml:space="preserve"> </w:t>
      </w:r>
      <w:hyperlink r:id="rId28">
        <w:r>
          <w:rPr>
            <w:color w:val="24618E"/>
            <w:u w:val="single"/>
          </w:rPr>
          <w:t>Deep Reinforcement Learning at the Edge of the Statistical Precipice</w:t>
        </w:r>
      </w:hyperlink>
      <w:r>
        <w:t xml:space="preserve">, NeurIPS 34. </w:t>
      </w:r>
      <w:r>
        <w:rPr>
          <w:b/>
        </w:rPr>
        <w:t>Relevance:</w:t>
      </w:r>
      <w:r>
        <w:t xml:space="preserve"> unstable rankings and small-run uncertainty, including bootstrap undercoverage.</w:t>
      </w:r>
    </w:p>
    <w:p>
      <w:pPr>
        <w:pStyle w:val="SourceEntry"/>
      </w:pPr>
      <w:r>
        <w:rPr>
          <w:b/>
        </w:rPr>
        <w:t>Colas, C., Sigaud, O., and Oudeyer, P.-Y. (2018).</w:t>
      </w:r>
      <w:r>
        <w:t xml:space="preserve"> </w:t>
      </w:r>
      <w:hyperlink r:id="rId29">
        <w:r>
          <w:rPr>
            <w:color w:val="24618E"/>
            <w:u w:val="single"/>
          </w:rPr>
          <w:t>How Many Random Seeds? Statistical Power Analysis in Deep Reinforcement Learning Experiments</w:t>
        </w:r>
      </w:hyperlink>
      <w:r>
        <w:t xml:space="preserve">, arXiv:1806.08295. </w:t>
      </w:r>
      <w:r>
        <w:rPr>
          <w:b/>
        </w:rPr>
        <w:t>Relevance:</w:t>
      </w:r>
      <w:r>
        <w:t xml:space="preserve"> seed counts and assumptions determine what inferential claims are supported.</w:t>
      </w:r>
    </w:p>
    <w:p>
      <w:pPr>
        <w:pStyle w:val="SourceEntry"/>
      </w:pPr>
      <w:r>
        <w:rPr>
          <w:b/>
        </w:rPr>
        <w:t>Shen, K., and Yu, W. (2018).</w:t>
      </w:r>
      <w:r>
        <w:t xml:space="preserve"> </w:t>
      </w:r>
      <w:hyperlink r:id="rId30">
        <w:r>
          <w:rPr>
            <w:color w:val="24618E"/>
            <w:u w:val="single"/>
          </w:rPr>
          <w:t>Fractional Programming for Communication Systems—Part I: Power Control and Beamforming</w:t>
        </w:r>
      </w:hyperlink>
      <w:r>
        <w:t xml:space="preserve">, IEEE Transactions on Signal Processing 66(10), 2616–2630. </w:t>
      </w:r>
      <w:r>
        <w:rPr>
          <w:b/>
        </w:rPr>
        <w:t>Relevance:</w:t>
      </w:r>
      <w:r>
        <w:t xml:space="preserve"> ratio optimisation is distinct from a fixed-price surrogate evaluation.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65768A"/>
        <w:sz w:val="18"/>
      </w:rPr>
      <w:t>8 September 2026</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5768A"/>
        <w:sz w:val="18"/>
      </w:rPr>
      <w:t>C3-S  /  LITERATURE &amp; CLAIM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Droid Sans Fallback"/>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Droid Sans Fallback"/>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Droid Sans Fallback"/>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Droid Sans Fallback"/>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contextualSpacing/>
    </w:pPr>
    <w:rPr>
      <w:rFonts w:asciiTheme="majorHAnsi" w:eastAsiaTheme="majorEastAsia" w:hAnsiTheme="majorHAnsi" w:cstheme="majorBidi" w:ascii="Calibri" w:hAnsi="Calibri" w:eastAsia="Droid Sans Fallback"/>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Calibri" w:hAnsi="Calibri" w:eastAsia="Droid Sans Fallback"/>
      <w:b w:val="0"/>
      <w:i/>
      <w:iCs/>
      <w:color w:val="5464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ntry">
    <w:name w:val="Source Entry"/>
    <w:basedOn w:val="Normal"/>
    <w:pPr>
      <w:keepLines/>
      <w:spacing w:after="160" w:line="254" w:lineRule="auto"/>
    </w:pPr>
    <w:rPr>
      <w:rFonts w:ascii="Calibri" w:hAnsi="Calibri" w:eastAsia="Droid Sans Fallback"/>
      <w:b w:val="0"/>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tsi.org/deliver/etsi_ts/138300_138399/138331/18.05.01_60/ts_138331v180501p.pdf" TargetMode="External"/><Relationship Id="rId12" Type="http://schemas.openxmlformats.org/officeDocument/2006/relationships/hyperlink" Target="https://arxiv.org/html/2501.17331v1" TargetMode="External"/><Relationship Id="rId13" Type="http://schemas.openxmlformats.org/officeDocument/2006/relationships/hyperlink" Target="https://pmc.ncbi.nlm.nih.gov/articles/PMC12987173/" TargetMode="External"/><Relationship Id="rId14" Type="http://schemas.openxmlformats.org/officeDocument/2006/relationships/hyperlink" Target="https://arxiv.org/html/1606.05673v2" TargetMode="External"/><Relationship Id="rId15" Type="http://schemas.openxmlformats.org/officeDocument/2006/relationships/hyperlink" Target="https://arxiv.org/pdf/1511.03417" TargetMode="External"/><Relationship Id="rId16" Type="http://schemas.openxmlformats.org/officeDocument/2006/relationships/hyperlink" Target="https://keio.elsevierpure.com/en/publications/frequency-resource-management-based-on-model-predictive-control-f/" TargetMode="External"/><Relationship Id="rId17" Type="http://schemas.openxmlformats.org/officeDocument/2006/relationships/hyperlink" Target="https://arxiv.org/html/2606.14151v1" TargetMode="External"/><Relationship Id="rId18" Type="http://schemas.openxmlformats.org/officeDocument/2006/relationships/hyperlink" Target="https://arxiv.org/html/1812.05506v4" TargetMode="External"/><Relationship Id="rId19" Type="http://schemas.openxmlformats.org/officeDocument/2006/relationships/hyperlink" Target="https://proceedings.mlr.press/v97/laroche19a/laroche19a.pdf" TargetMode="External"/><Relationship Id="rId20" Type="http://schemas.openxmlformats.org/officeDocument/2006/relationships/hyperlink" Target="https://ojs.aaai.org/index.php/AAAI/article/view/11797" TargetMode="External"/><Relationship Id="rId21" Type="http://schemas.openxmlformats.org/officeDocument/2006/relationships/hyperlink" Target="https://www.researchgate.net/publication/371465047_A_Novel_Feeder_Link_Handover_Strategy_for_Backhaul_in_LEO_Satellite_Networks" TargetMode="External"/><Relationship Id="rId22" Type="http://schemas.openxmlformats.org/officeDocument/2006/relationships/hyperlink" Target="https://arxiv.org/html/2603.07987v1" TargetMode="External"/><Relationship Id="rId23" Type="http://schemas.openxmlformats.org/officeDocument/2006/relationships/hyperlink" Target="https://www.researchgate.net/publication/390816318_Centralized_and_Distributed_Strategies_for_Handover-Aware_Task_Allocation_in_Satellite_Constellations" TargetMode="External"/><Relationship Id="rId24" Type="http://schemas.openxmlformats.org/officeDocument/2006/relationships/hyperlink" Target="https://www.researchgate.net/publication/394946808_LEO_Satellite_Beam_Hopping_for_Power_Consumption_Minimization_at_Different_Elevation_Angles" TargetMode="External"/><Relationship Id="rId25" Type="http://schemas.openxmlformats.org/officeDocument/2006/relationships/hyperlink" Target="https://pubmed.ncbi.nlm.nih.gov/29531091/" TargetMode="External"/><Relationship Id="rId26" Type="http://schemas.openxmlformats.org/officeDocument/2006/relationships/hyperlink" Target="https://jmlr.org/papers/v11/cawley10a.html" TargetMode="External"/><Relationship Id="rId27" Type="http://schemas.openxmlformats.org/officeDocument/2006/relationships/hyperlink" Target="https://arxiv.org/pdf/1106.2125" TargetMode="External"/><Relationship Id="rId28" Type="http://schemas.openxmlformats.org/officeDocument/2006/relationships/hyperlink" Target="https://proceedings.neurips.cc/paper/2021/file/f514cec81cb148559cf475e7426eed5e-Paper.pdf" TargetMode="External"/><Relationship Id="rId29" Type="http://schemas.openxmlformats.org/officeDocument/2006/relationships/hyperlink" Target="https://arxiv.org/abs/1806.08295" TargetMode="External"/><Relationship Id="rId30" Type="http://schemas.openxmlformats.org/officeDocument/2006/relationships/hyperlink" Target="https://arxiv.org/abs/1802.101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coordinator stabilisers: evidence and claim limits</dc:title>
  <dc:subject>Critical literature review of a fixed seven-variant development screen</dc:subject>
  <dc:creator>OpenAI</dc:creator>
  <cp:keywords>LEO; handover; MPC; hysteresis; development screen; energy efficiency</cp:keywords>
  <dc:description>generated by python-docx</dc:description>
  <cp:lastModifiedBy/>
  <cp:revision>1</cp:revision>
  <dcterms:created xsi:type="dcterms:W3CDTF">2013-12-23T23:15:00Z</dcterms:created>
  <dcterms:modified xsi:type="dcterms:W3CDTF">2013-12-23T23:15:00Z</dcterms:modified>
  <cp:category/>
</cp:coreProperties>
</file>