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drawing>
          <wp:inline xmlns:a="http://schemas.openxmlformats.org/drawingml/2006/main" xmlns:pic="http://schemas.openxmlformats.org/drawingml/2006/picture">
            <wp:extent cx="2286000" cy="1714500"/>
            <wp:docPr id="1" name="Picture 1"/>
            <wp:cNvGraphicFramePr>
              <a:graphicFrameLocks noChangeAspect="1"/>
            </wp:cNvGraphicFramePr>
            <a:graphic>
              <a:graphicData uri="http://schemas.openxmlformats.org/drawingml/2006/picture">
                <pic:pic>
                  <pic:nvPicPr>
                    <pic:cNvPr id="0" name="NCS Logo.png"/>
                    <pic:cNvPicPr/>
                  </pic:nvPicPr>
                  <pic:blipFill>
                    <a:blip r:embed="rId9"/>
                    <a:stretch>
                      <a:fillRect/>
                    </a:stretch>
                  </pic:blipFill>
                  <pic:spPr>
                    <a:xfrm>
                      <a:off x="0" y="0"/>
                      <a:ext cx="2286000" cy="1714500"/>
                    </a:xfrm>
                    <a:prstGeom prst="rect"/>
                  </pic:spPr>
                </pic:pic>
              </a:graphicData>
            </a:graphic>
          </wp:inline>
        </w:drawing>
      </w:r>
    </w:p>
    <w:p>
      <w:pPr>
        <w:spacing w:before="800"/>
        <w:jc w:val="center"/>
      </w:pPr>
      <w:r>
        <w:rPr>
          <w:rFonts w:ascii="Calibri" w:hAnsi="Calibri"/>
          <w:b/>
          <w:color w:val="2C2C2C"/>
          <w:sz w:val="56"/>
        </w:rPr>
        <w:t>SEO DELTA AUDIT REPORT</w:t>
      </w:r>
    </w:p>
    <w:p>
      <w:pPr>
        <w:jc w:val="center"/>
      </w:pPr>
      <w:r>
        <w:rPr>
          <w:rFonts w:ascii="Calibri" w:hAnsi="Calibri"/>
          <w:i/>
          <w:color w:val="666666"/>
          <w:sz w:val="26"/>
        </w:rPr>
        <w:t>Conversion Diagnosis - Why Traffic Is Up but Bookings Are Flat</w:t>
      </w:r>
    </w:p>
    <w:p>
      <w:pPr>
        <w:spacing w:before="600"/>
        <w:jc w:val="center"/>
      </w:pPr>
      <w:r>
        <w:rPr>
          <w:rFonts w:ascii="Calibri" w:hAnsi="Calibri"/>
          <w:b/>
          <w:color w:val="FF5371"/>
          <w:sz w:val="40"/>
        </w:rPr>
        <w:t>haveninlipa.com</w:t>
      </w:r>
    </w:p>
    <w:p>
      <w:pPr>
        <w:spacing w:before="1800"/>
        <w:jc w:val="center"/>
      </w:pPr>
      <w:r>
        <w:rPr>
          <w:rFonts w:ascii="Calibri" w:hAnsi="Calibri"/>
          <w:color w:val="2C2C2C"/>
          <w:sz w:val="22"/>
        </w:rPr>
        <w:t>Prepared by: NetCoreSolutions</w:t>
      </w:r>
    </w:p>
    <w:p>
      <w:pPr>
        <w:jc w:val="center"/>
      </w:pPr>
      <w:r>
        <w:rPr>
          <w:rFonts w:ascii="Calibri" w:hAnsi="Calibri"/>
          <w:i w:val="0"/>
          <w:color w:val="2C2C2C"/>
          <w:sz w:val="22"/>
        </w:rPr>
        <w:t>Date: July 4, 2026</w:t>
      </w:r>
    </w:p>
    <w:p>
      <w:pPr>
        <w:jc w:val="center"/>
      </w:pPr>
      <w:r>
        <w:rPr>
          <w:rFonts w:ascii="Calibri" w:hAnsi="Calibri"/>
          <w:i/>
          <w:color w:val="666666"/>
          <w:sz w:val="20"/>
        </w:rPr>
        <w:t>Baseline Chain: Apr 7 -&gt; Apr 15 -&gt; May 8 -&gt; May 31 -&gt; Jun 18 -&gt; Jul 4, 2026</w:t>
      </w:r>
    </w:p>
    <w:p>
      <w:pPr>
        <w:jc w:val="center"/>
      </w:pPr>
      <w:r>
        <w:rPr>
          <w:rFonts w:ascii="Calibri" w:hAnsi="Calibri"/>
          <w:i/>
          <w:color w:val="666666"/>
          <w:sz w:val="18"/>
        </w:rPr>
        <w:t>Scope: Delta re-crawl (folder 070426). Competitor re-analysis skipped - moat unchanged.</w:t>
      </w:r>
    </w:p>
    <w:p>
      <w:r>
        <w:br w:type="page"/>
      </w:r>
    </w:p>
    <w:p>
      <w:pPr>
        <w:pStyle w:val="Heading1"/>
      </w:pPr>
      <w:r>
        <w:rPr>
          <w:rFonts w:ascii="Calibri" w:hAnsi="Calibri"/>
          <w:color w:val="FF5371"/>
        </w:rPr>
        <w:t>Executive Summary</w:t>
      </w:r>
    </w:p>
    <w:p>
      <w:r>
        <w:rPr>
          <w:rFonts w:ascii="Calibri" w:hAnsi="Calibri"/>
          <w:b w:val="0"/>
          <w:i w:val="0"/>
          <w:sz w:val="21"/>
        </w:rPr>
        <w:t>Since the June 18 baseline the SEO program is working on every leading and traffic metric: indexed pages rose from 22 to 31, the weekly content cadence held, and impressions, clicks, and organic traffic are all trending up. Yet bookings are flat at roughly two in the last month. A live re-crawl of the conversion path shows this is not a traffic problem - it is a funnel-leak and measurement problem, and it is fixable without chasing more traffic.</w:t>
      </w:r>
    </w:p>
    <w:p>
      <w:r>
        <w:rPr>
          <w:rFonts w:ascii="Calibri" w:hAnsi="Calibri"/>
          <w:b/>
          <w:i w:val="0"/>
          <w:color w:val="3B5323"/>
          <w:sz w:val="21"/>
        </w:rPr>
        <w:t>Four leaks, in priority order:</w:t>
      </w:r>
    </w:p>
    <w:p>
      <w:pPr>
        <w:pStyle w:val="ListBullet"/>
        <w:ind w:left="576"/>
      </w:pPr>
      <w:r>
        <w:rPr>
          <w:rFonts w:ascii="Calibri" w:hAnsi="Calibri"/>
          <w:b/>
          <w:color w:val="D93B3B"/>
          <w:sz w:val="20"/>
        </w:rPr>
        <w:t xml:space="preserve">Leak 1 - Social proof missing at the point of decision: </w:t>
      </w:r>
      <w:r>
        <w:rPr>
          <w:rFonts w:ascii="Calibri" w:hAnsi="Calibri"/>
          <w:sz w:val="20"/>
        </w:rPr>
        <w:t>the property pages advertise a 5.0 / 180+ review reputation on the homepage but show an EMPTY reviews section on the pages where people actually book.</w:t>
      </w:r>
    </w:p>
    <w:p>
      <w:pPr>
        <w:pStyle w:val="ListBullet"/>
        <w:ind w:left="576"/>
      </w:pPr>
      <w:r>
        <w:rPr>
          <w:rFonts w:ascii="Calibri" w:hAnsi="Calibri"/>
          <w:b/>
          <w:color w:val="D93B3B"/>
          <w:sz w:val="20"/>
        </w:rPr>
        <w:t xml:space="preserve">Leak 2 - Best-traffic pages are booking dead-ends: </w:t>
      </w:r>
      <w:r>
        <w:rPr>
          <w:rFonts w:ascii="Calibri" w:hAnsi="Calibri"/>
          <w:sz w:val="20"/>
        </w:rPr>
        <w:t>the top organic articles bury booking links ~60% down, use informational CTAs, link only the old 1BR/2BR (not the new Mickey family houses), and capture no emails - so most readers leave and never return.</w:t>
      </w:r>
    </w:p>
    <w:p>
      <w:pPr>
        <w:pStyle w:val="ListBullet"/>
        <w:ind w:left="576"/>
      </w:pPr>
      <w:r>
        <w:rPr>
          <w:rFonts w:ascii="Calibri" w:hAnsi="Calibri"/>
          <w:b/>
          <w:color w:val="D93B3B"/>
          <w:sz w:val="20"/>
        </w:rPr>
        <w:t xml:space="preserve">Leak 3 - No measurement: </w:t>
      </w:r>
      <w:r>
        <w:rPr>
          <w:rFonts w:ascii="Calibri" w:hAnsi="Calibri"/>
          <w:sz w:val="20"/>
        </w:rPr>
        <w:t>no conversion tracking exists, so it is impossible to see which pages or keywords produced the two bookings - the program is optimizing blind.</w:t>
      </w:r>
    </w:p>
    <w:p>
      <w:pPr>
        <w:pStyle w:val="ListBullet"/>
        <w:ind w:left="576"/>
      </w:pPr>
      <w:r>
        <w:rPr>
          <w:rFonts w:ascii="Calibri" w:hAnsi="Calibri"/>
          <w:b/>
          <w:color w:val="E88A1A"/>
          <w:sz w:val="20"/>
        </w:rPr>
        <w:t xml:space="preserve">Leak 4 - Booking friction: </w:t>
      </w:r>
      <w:r>
        <w:rPr>
          <w:rFonts w:ascii="Calibri" w:hAnsi="Calibri"/>
          <w:sz w:val="20"/>
        </w:rPr>
        <w:t>'View Details' instead of 'Book', no date picker until deep in the flow, full upfront payment, and vague extra-charge language add hesitation.</w:t>
      </w:r>
    </w:p>
    <w:p>
      <w:r>
        <w:rPr>
          <w:rFonts w:ascii="Calibri" w:hAnsi="Calibri"/>
          <w:b/>
          <w:i w:val="0"/>
          <w:sz w:val="21"/>
        </w:rPr>
        <w:t>Direction: shift effort from traffic acquisition to conversion - reviews on property pages, an intent-matched blog-to-booking funnel, real conversion tracking, and email capture. Four deliverables accompany this report.</w:t>
      </w:r>
    </w:p>
    <w:p>
      <w:pPr>
        <w:pStyle w:val="Heading1"/>
      </w:pPr>
      <w:r>
        <w:rPr>
          <w:rFonts w:ascii="Calibri" w:hAnsi="Calibri"/>
          <w:color w:val="FF5371"/>
        </w:rPr>
        <w:t>Section 1 - What Changed Since the June 18 Baseline</w:t>
      </w:r>
    </w:p>
    <w:tbl>
      <w:tblPr>
        <w:tblStyle w:val="TableGrid"/>
        <w:tblW w:type="auto" w:w="0"/>
        <w:jc w:val="center"/>
        <w:tblLook w:firstColumn="1" w:firstRow="1" w:lastColumn="0" w:lastRow="0" w:noHBand="0" w:noVBand="1" w:val="04A0"/>
      </w:tblPr>
      <w:tblGrid>
        <w:gridCol w:w="3324"/>
        <w:gridCol w:w="3324"/>
        <w:gridCol w:w="3324"/>
      </w:tblGrid>
      <w:tr>
        <w:tc>
          <w:tcPr>
            <w:tcW w:type="dxa" w:w="1584"/>
            <w:shd w:fill="3B5323"/>
          </w:tcPr>
          <w:p>
            <w:pPr>
              <w:spacing w:before="40" w:after="40"/>
            </w:pPr>
            <w:r/>
            <w:r>
              <w:rPr>
                <w:rFonts w:ascii="Calibri" w:hAnsi="Calibri"/>
                <w:b/>
                <w:color w:val="FFFFFF"/>
                <w:sz w:val="18"/>
              </w:rPr>
              <w:t>Area</w:t>
            </w:r>
          </w:p>
        </w:tc>
        <w:tc>
          <w:tcPr>
            <w:tcW w:type="dxa" w:w="6624"/>
            <w:shd w:fill="3B5323"/>
          </w:tcPr>
          <w:p>
            <w:pPr>
              <w:spacing w:before="40" w:after="40"/>
            </w:pPr>
            <w:r/>
            <w:r>
              <w:rPr>
                <w:rFonts w:ascii="Calibri" w:hAnsi="Calibri"/>
                <w:b/>
                <w:color w:val="FFFFFF"/>
                <w:sz w:val="18"/>
              </w:rPr>
              <w:t>Change since 6/18</w:t>
            </w:r>
          </w:p>
        </w:tc>
        <w:tc>
          <w:tcPr>
            <w:tcW w:type="dxa" w:w="1440"/>
            <w:shd w:fill="3B5323"/>
          </w:tcPr>
          <w:p>
            <w:pPr>
              <w:spacing w:before="40" w:after="40"/>
            </w:pPr>
            <w:r/>
            <w:r>
              <w:rPr>
                <w:rFonts w:ascii="Calibri" w:hAnsi="Calibri"/>
                <w:b/>
                <w:color w:val="FFFFFF"/>
                <w:sz w:val="18"/>
              </w:rPr>
              <w:t>Status</w:t>
            </w:r>
          </w:p>
        </w:tc>
      </w:tr>
      <w:tr>
        <w:tc>
          <w:tcPr>
            <w:tcW w:type="dxa" w:w="1584"/>
            <w:shd w:fill="F2F2F2"/>
          </w:tcPr>
          <w:p>
            <w:pPr>
              <w:spacing w:before="40" w:after="40"/>
            </w:pPr>
            <w:r/>
            <w:r>
              <w:rPr>
                <w:rFonts w:ascii="Calibri" w:hAnsi="Calibri"/>
                <w:b w:val="0"/>
                <w:sz w:val="18"/>
              </w:rPr>
              <w:t>Indexing</w:t>
            </w:r>
          </w:p>
        </w:tc>
        <w:tc>
          <w:tcPr>
            <w:tcW w:type="dxa" w:w="6624"/>
            <w:shd w:fill="F2F2F2"/>
          </w:tcPr>
          <w:p>
            <w:pPr>
              <w:spacing w:before="40" w:after="40"/>
            </w:pPr>
            <w:r/>
            <w:r>
              <w:rPr>
                <w:rFonts w:ascii="Calibri" w:hAnsi="Calibri"/>
                <w:b w:val="0"/>
                <w:sz w:val="18"/>
              </w:rPr>
              <w:t>22 -&gt; 31 indexed pages; all 3 Mickey property pages + 2 /book endpoints now indexed</w:t>
            </w:r>
          </w:p>
        </w:tc>
        <w:tc>
          <w:tcPr>
            <w:tcW w:type="dxa" w:w="1440"/>
            <w:shd w:fill="F2F2F2"/>
          </w:tcPr>
          <w:p>
            <w:pPr>
              <w:spacing w:before="40" w:after="40"/>
            </w:pPr>
            <w:r/>
            <w:r>
              <w:rPr>
                <w:rFonts w:ascii="Calibri" w:hAnsi="Calibri"/>
                <w:b w:val="0"/>
                <w:sz w:val="18"/>
              </w:rPr>
              <w:t>Good</w:t>
            </w:r>
          </w:p>
        </w:tc>
      </w:tr>
      <w:tr>
        <w:tc>
          <w:tcPr>
            <w:tcW w:type="dxa" w:w="1584"/>
            <w:shd w:fill="FFFFFF"/>
          </w:tcPr>
          <w:p>
            <w:pPr>
              <w:spacing w:before="40" w:after="40"/>
            </w:pPr>
            <w:r/>
            <w:r>
              <w:rPr>
                <w:rFonts w:ascii="Calibri" w:hAnsi="Calibri"/>
                <w:b w:val="0"/>
                <w:sz w:val="18"/>
              </w:rPr>
              <w:t>Content</w:t>
            </w:r>
          </w:p>
        </w:tc>
        <w:tc>
          <w:tcPr>
            <w:tcW w:type="dxa" w:w="6624"/>
            <w:shd w:fill="FFFFFF"/>
          </w:tcPr>
          <w:p>
            <w:pPr>
              <w:spacing w:before="40" w:after="40"/>
            </w:pPr>
            <w:r/>
            <w:r>
              <w:rPr>
                <w:rFonts w:ascii="Calibri" w:hAnsi="Calibri"/>
                <w:b w:val="0"/>
                <w:sz w:val="18"/>
              </w:rPr>
              <w:t>#10, #14, #15, #17 flipped Requested -&gt; Indexed; weekly cadence holding</w:t>
            </w:r>
          </w:p>
        </w:tc>
        <w:tc>
          <w:tcPr>
            <w:tcW w:type="dxa" w:w="1440"/>
            <w:shd w:fill="FFFFFF"/>
          </w:tcPr>
          <w:p>
            <w:pPr>
              <w:spacing w:before="40" w:after="40"/>
            </w:pPr>
            <w:r/>
            <w:r>
              <w:rPr>
                <w:rFonts w:ascii="Calibri" w:hAnsi="Calibri"/>
                <w:b w:val="0"/>
                <w:sz w:val="18"/>
              </w:rPr>
              <w:t>On track</w:t>
            </w:r>
          </w:p>
        </w:tc>
      </w:tr>
      <w:tr>
        <w:tc>
          <w:tcPr>
            <w:tcW w:type="dxa" w:w="1584"/>
            <w:shd w:fill="F2F2F2"/>
          </w:tcPr>
          <w:p>
            <w:pPr>
              <w:spacing w:before="40" w:after="40"/>
            </w:pPr>
            <w:r/>
            <w:r>
              <w:rPr>
                <w:rFonts w:ascii="Calibri" w:hAnsi="Calibri"/>
                <w:b w:val="0"/>
                <w:sz w:val="18"/>
              </w:rPr>
              <w:t>KPIs</w:t>
            </w:r>
          </w:p>
        </w:tc>
        <w:tc>
          <w:tcPr>
            <w:tcW w:type="dxa" w:w="6624"/>
            <w:shd w:fill="F2F2F2"/>
          </w:tcPr>
          <w:p>
            <w:pPr>
              <w:spacing w:before="40" w:after="40"/>
            </w:pPr>
            <w:r/>
            <w:r>
              <w:rPr>
                <w:rFonts w:ascii="Calibri" w:hAnsi="Calibri"/>
                <w:b w:val="0"/>
                <w:sz w:val="18"/>
              </w:rPr>
              <w:t>Impressions / clicks / organic traffic trending up; Indexed 20-&gt;25-&gt;31 (May/Jun/Jul)</w:t>
            </w:r>
          </w:p>
        </w:tc>
        <w:tc>
          <w:tcPr>
            <w:tcW w:type="dxa" w:w="1440"/>
            <w:shd w:fill="F2F2F2"/>
          </w:tcPr>
          <w:p>
            <w:pPr>
              <w:spacing w:before="40" w:after="40"/>
            </w:pPr>
            <w:r/>
            <w:r>
              <w:rPr>
                <w:rFonts w:ascii="Calibri" w:hAnsi="Calibri"/>
                <w:b w:val="0"/>
                <w:sz w:val="18"/>
              </w:rPr>
              <w:t>Improving</w:t>
            </w:r>
          </w:p>
        </w:tc>
      </w:tr>
      <w:tr>
        <w:tc>
          <w:tcPr>
            <w:tcW w:type="dxa" w:w="1584"/>
            <w:shd w:fill="FFFFFF"/>
          </w:tcPr>
          <w:p>
            <w:pPr>
              <w:spacing w:before="40" w:after="40"/>
            </w:pPr>
            <w:r/>
            <w:r>
              <w:rPr>
                <w:rFonts w:ascii="Calibri" w:hAnsi="Calibri"/>
                <w:b w:val="0"/>
                <w:sz w:val="18"/>
              </w:rPr>
              <w:t>Tracker</w:t>
            </w:r>
          </w:p>
        </w:tc>
        <w:tc>
          <w:tcPr>
            <w:tcW w:type="dxa" w:w="6624"/>
            <w:shd w:fill="FFFFFF"/>
          </w:tcPr>
          <w:p>
            <w:pPr>
              <w:spacing w:before="40" w:after="40"/>
            </w:pPr>
            <w:r/>
            <w:r>
              <w:rPr>
                <w:rFonts w:ascii="Calibri" w:hAnsi="Calibri"/>
                <w:b w:val="0"/>
                <w:sz w:val="18"/>
              </w:rPr>
              <w:t>Page Indexing Tracker synced; #17 slug drift fixed; Role + Striking-Distance columns added; KPI Dashboard + Cluster KPIs added</w:t>
            </w:r>
          </w:p>
        </w:tc>
        <w:tc>
          <w:tcPr>
            <w:tcW w:type="dxa" w:w="1440"/>
            <w:shd w:fill="FFFFFF"/>
          </w:tcPr>
          <w:p>
            <w:pPr>
              <w:spacing w:before="40" w:after="40"/>
            </w:pPr>
            <w:r/>
            <w:r>
              <w:rPr>
                <w:rFonts w:ascii="Calibri" w:hAnsi="Calibri"/>
                <w:b w:val="0"/>
                <w:sz w:val="18"/>
              </w:rPr>
              <w:t>Done</w:t>
            </w:r>
          </w:p>
        </w:tc>
      </w:tr>
      <w:tr>
        <w:tc>
          <w:tcPr>
            <w:tcW w:type="dxa" w:w="1584"/>
            <w:shd w:fill="F2F2F2"/>
          </w:tcPr>
          <w:p>
            <w:pPr>
              <w:spacing w:before="40" w:after="40"/>
            </w:pPr>
            <w:r/>
            <w:r>
              <w:rPr>
                <w:rFonts w:ascii="Calibri" w:hAnsi="Calibri"/>
                <w:b w:val="0"/>
                <w:sz w:val="18"/>
              </w:rPr>
              <w:t>Stragglers</w:t>
            </w:r>
          </w:p>
        </w:tc>
        <w:tc>
          <w:tcPr>
            <w:tcW w:type="dxa" w:w="6624"/>
            <w:shd w:fill="F2F2F2"/>
          </w:tcPr>
          <w:p>
            <w:pPr>
              <w:spacing w:before="40" w:after="40"/>
            </w:pPr>
            <w:r/>
            <w:r>
              <w:rPr>
                <w:rFonts w:ascii="Calibri" w:hAnsi="Calibri"/>
                <w:b w:val="0"/>
                <w:sz w:val="18"/>
              </w:rPr>
              <w:t>3 /tag/-/author/-www archives still indexed (noindex not yet effective); 2 /book pages indexed</w:t>
            </w:r>
          </w:p>
        </w:tc>
        <w:tc>
          <w:tcPr>
            <w:tcW w:type="dxa" w:w="1440"/>
            <w:shd w:fill="F2F2F2"/>
          </w:tcPr>
          <w:p>
            <w:pPr>
              <w:spacing w:before="40" w:after="40"/>
            </w:pPr>
            <w:r/>
            <w:r>
              <w:rPr>
                <w:rFonts w:ascii="Calibri" w:hAnsi="Calibri"/>
                <w:b w:val="0"/>
                <w:sz w:val="18"/>
              </w:rPr>
              <w:t>Verify</w:t>
            </w:r>
          </w:p>
        </w:tc>
      </w:tr>
      <w:tr>
        <w:tc>
          <w:tcPr>
            <w:tcW w:type="dxa" w:w="1584"/>
            <w:shd w:fill="FFFFFF"/>
          </w:tcPr>
          <w:p>
            <w:pPr>
              <w:spacing w:before="40" w:after="40"/>
            </w:pPr>
            <w:r/>
            <w:r>
              <w:rPr>
                <w:rFonts w:ascii="Calibri" w:hAnsi="Calibri"/>
                <w:b w:val="0"/>
                <w:sz w:val="18"/>
              </w:rPr>
              <w:t>Conversions</w:t>
            </w:r>
          </w:p>
        </w:tc>
        <w:tc>
          <w:tcPr>
            <w:tcW w:type="dxa" w:w="6624"/>
            <w:shd w:fill="FFFFFF"/>
          </w:tcPr>
          <w:p>
            <w:pPr>
              <w:spacing w:before="40" w:after="40"/>
            </w:pPr>
            <w:r/>
            <w:r>
              <w:rPr>
                <w:rFonts w:ascii="Calibri" w:hAnsi="Calibri"/>
                <w:b w:val="0"/>
                <w:sz w:val="18"/>
              </w:rPr>
              <w:t>Traffic up, bookings flat (~2/mo)</w:t>
            </w:r>
          </w:p>
        </w:tc>
        <w:tc>
          <w:tcPr>
            <w:tcW w:type="dxa" w:w="1440"/>
            <w:shd w:fill="FFFFFF"/>
          </w:tcPr>
          <w:p>
            <w:pPr>
              <w:spacing w:before="40" w:after="40"/>
            </w:pPr>
            <w:r/>
            <w:r>
              <w:rPr>
                <w:rFonts w:ascii="Calibri" w:hAnsi="Calibri"/>
                <w:b w:val="0"/>
                <w:sz w:val="18"/>
              </w:rPr>
              <w:t>The finding</w:t>
            </w:r>
          </w:p>
        </w:tc>
      </w:tr>
    </w:tbl>
    <w:p>
      <w:r>
        <w:rPr>
          <w:rFonts w:ascii="Calibri" w:hAnsi="Calibri"/>
          <w:b w:val="0"/>
          <w:i w:val="0"/>
          <w:sz w:val="21"/>
        </w:rPr>
        <w:t>The content engine and technical base are healthy. Indexing nearly caught up to the full published set, and the tracker now carries a full measurement layer (KPI Dashboard, Cluster KPIs, Role, Striking-Distance). The one red signal is the traffic-to-bookings gap addressed in Section 3.</w:t>
      </w:r>
    </w:p>
    <w:p>
      <w:pPr>
        <w:pStyle w:val="Heading1"/>
      </w:pPr>
      <w:r>
        <w:rPr>
          <w:rFonts w:ascii="Calibri" w:hAnsi="Calibri"/>
          <w:color w:val="FF5371"/>
        </w:rPr>
        <w:t>Section 2 - Competitor Analysis</w:t>
      </w:r>
    </w:p>
    <w:p>
      <w:r>
        <w:rPr>
          <w:rFonts w:ascii="Calibri" w:hAnsi="Calibri"/>
          <w:b w:val="0"/>
          <w:i/>
          <w:sz w:val="21"/>
        </w:rPr>
        <w:t>Skipped for this delta run, per standing scope. The competitive moat was confirmed durable in prior runs (no local accommodation rival runs a content engine) and the baseline is under 90 days old. Re-baseline with a full competitor pass is due if the baseline crosses ~90 days (roughly end of August 2026).</w:t>
      </w:r>
    </w:p>
    <w:p>
      <w:pPr>
        <w:pStyle w:val="Heading1"/>
      </w:pPr>
      <w:r>
        <w:rPr>
          <w:rFonts w:ascii="Calibri" w:hAnsi="Calibri"/>
          <w:color w:val="FF5371"/>
        </w:rPr>
        <w:t>Section 3 - Conversion Diagnosis (from the live crawl, 2026-07-04)</w:t>
      </w:r>
    </w:p>
    <w:p>
      <w:r>
        <w:rPr>
          <w:rFonts w:ascii="Calibri" w:hAnsi="Calibri"/>
          <w:b w:val="0"/>
          <w:i w:val="0"/>
          <w:sz w:val="21"/>
        </w:rPr>
        <w:t>Pages crawled: homepage, a Mickey property page, and the top-traffic 'Things to Do' article. Findings map cleanly to the KPI cascade (impressions -&gt; rankings -&gt; traffic -&gt; conversions): the first three links are working; the break is at conversion.</w:t>
      </w:r>
    </w:p>
    <w:p>
      <w:pPr>
        <w:pStyle w:val="Heading2"/>
      </w:pPr>
      <w:r>
        <w:rPr>
          <w:rFonts w:ascii="Calibri" w:hAnsi="Calibri"/>
          <w:color w:val="3B5323"/>
        </w:rPr>
        <w:t>Leak 1 - Empty reviews at the point of decision</w:t>
      </w:r>
    </w:p>
    <w:p>
      <w:r>
        <w:rPr>
          <w:rFonts w:ascii="Calibri" w:hAnsi="Calibri"/>
          <w:b w:val="0"/>
          <w:i w:val="0"/>
          <w:sz w:val="21"/>
        </w:rPr>
        <w:t>The homepage advertises '5.0 Avg Rating, 280+ Happy Guests, 180+ Five-Star Reviews, 3-yr Superhost.' Every property page - including the new Mickey pages - shows a 'What guests say' heading with no reviews beneath it. Trust is promised globally and absent exactly where the booking decision is made. Highest-leverage fix. (See Conversion Fix #1.)</w:t>
      </w:r>
    </w:p>
    <w:p>
      <w:pPr>
        <w:pStyle w:val="Heading2"/>
      </w:pPr>
      <w:r>
        <w:rPr>
          <w:rFonts w:ascii="Calibri" w:hAnsi="Calibri"/>
          <w:color w:val="3B5323"/>
        </w:rPr>
        <w:t>Leak 2 - Best-traffic pages are booking dead-ends</w:t>
      </w:r>
    </w:p>
    <w:p>
      <w:r>
        <w:rPr>
          <w:rFonts w:ascii="Calibri" w:hAnsi="Calibri"/>
          <w:b w:val="0"/>
          <w:i w:val="0"/>
          <w:sz w:val="21"/>
        </w:rPr>
        <w:t>The #1 'Things to Do' article - a top organic entry point - places booking links ~60% down, uses informational CTAs, links only the old Cozy 1BR / Spacious 2BR (not the new Mickey family houses a family reader would book), and offers no email capture. Engaged readers who are not ready to book today are lost. (See Conversion Fix #2 and #4.)</w:t>
      </w:r>
    </w:p>
    <w:p>
      <w:pPr>
        <w:pStyle w:val="Heading2"/>
      </w:pPr>
      <w:r>
        <w:rPr>
          <w:rFonts w:ascii="Calibri" w:hAnsi="Calibri"/>
          <w:color w:val="3B5323"/>
        </w:rPr>
        <w:t>Leak 3 - No conversion measurement</w:t>
      </w:r>
    </w:p>
    <w:p>
      <w:r>
        <w:rPr>
          <w:rFonts w:ascii="Calibri" w:hAnsi="Calibri"/>
          <w:b w:val="0"/>
          <w:i w:val="0"/>
          <w:sz w:val="21"/>
        </w:rPr>
        <w:t>There is no GA4/booking-event tracking; the KPI Dashboard conversion rows are empty and only GBP proxies exist. It is impossible to attribute the two bookings to pages or keywords, so the program cannot double down on what works. Foundational. (See Conversion Fix #3.)</w:t>
      </w:r>
    </w:p>
    <w:p>
      <w:pPr>
        <w:pStyle w:val="Heading2"/>
      </w:pPr>
      <w:r>
        <w:rPr>
          <w:rFonts w:ascii="Calibri" w:hAnsi="Calibri"/>
          <w:color w:val="3B5323"/>
        </w:rPr>
        <w:t>Leak 4 - Booking friction</w:t>
      </w:r>
    </w:p>
    <w:p>
      <w:r>
        <w:rPr>
          <w:rFonts w:ascii="Calibri" w:hAnsi="Calibri"/>
          <w:b w:val="0"/>
          <w:i w:val="0"/>
          <w:sz w:val="21"/>
        </w:rPr>
        <w:t>Homepage property cards say 'View Details' (not 'Book') with no date picker until deep in the flow; property pages require full upfront payment (no deposit) and carry vague 'additional charges' language - each adds hesitation on a PHP 2,400-7,000 decision.</w:t>
      </w:r>
    </w:p>
    <w:p>
      <w:r>
        <w:rPr>
          <w:rFonts w:ascii="Calibri" w:hAnsi="Calibri"/>
          <w:b w:val="0"/>
          <w:i/>
          <w:sz w:val="20"/>
        </w:rPr>
        <w:t>Open question to resolve with data: is the growing traffic informational (things-to-do) or transactional (short-term rental lipa)? If the money keywords are not the ones ranking, traffic growth will not convert. A GSC query-to-page pull will confirm; Conversion Fix #3 makes this answerable going forward.</w:t>
      </w:r>
    </w:p>
    <w:p>
      <w:pPr>
        <w:pStyle w:val="Heading1"/>
      </w:pPr>
      <w:r>
        <w:rPr>
          <w:rFonts w:ascii="Calibri" w:hAnsi="Calibri"/>
          <w:color w:val="FF5371"/>
        </w:rPr>
        <w:t>Section 4 - Recommendations &amp; Next Steps</w:t>
      </w:r>
    </w:p>
    <w:p>
      <w:r>
        <w:rPr>
          <w:rFonts w:ascii="Calibri" w:hAnsi="Calibri"/>
          <w:b/>
          <w:i w:val="0"/>
          <w:sz w:val="21"/>
        </w:rPr>
        <w:t>Conversion-first, not more traffic. Four deliverables accompany this report (folder 070426/):</w:t>
      </w:r>
    </w:p>
    <w:tbl>
      <w:tblPr>
        <w:tblStyle w:val="TableGrid"/>
        <w:tblW w:type="auto" w:w="0"/>
        <w:jc w:val="center"/>
        <w:tblLook w:firstColumn="1" w:firstRow="1" w:lastColumn="0" w:lastRow="0" w:noHBand="0" w:noVBand="1" w:val="04A0"/>
      </w:tblPr>
      <w:tblGrid>
        <w:gridCol w:w="3324"/>
        <w:gridCol w:w="3324"/>
        <w:gridCol w:w="3324"/>
      </w:tblGrid>
      <w:tr>
        <w:tc>
          <w:tcPr>
            <w:tcW w:type="dxa" w:w="1296"/>
            <w:shd w:fill="3B5323"/>
          </w:tcPr>
          <w:p>
            <w:pPr>
              <w:spacing w:before="40" w:after="40"/>
            </w:pPr>
            <w:r/>
            <w:r>
              <w:rPr>
                <w:rFonts w:ascii="Calibri" w:hAnsi="Calibri"/>
                <w:b/>
                <w:color w:val="FFFFFF"/>
                <w:sz w:val="18"/>
              </w:rPr>
              <w:t>Priority</w:t>
            </w:r>
          </w:p>
        </w:tc>
        <w:tc>
          <w:tcPr>
            <w:tcW w:type="dxa" w:w="5904"/>
            <w:shd w:fill="3B5323"/>
          </w:tcPr>
          <w:p>
            <w:pPr>
              <w:spacing w:before="40" w:after="40"/>
            </w:pPr>
            <w:r/>
            <w:r>
              <w:rPr>
                <w:rFonts w:ascii="Calibri" w:hAnsi="Calibri"/>
                <w:b/>
                <w:color w:val="FFFFFF"/>
                <w:sz w:val="18"/>
              </w:rPr>
              <w:t>Action</w:t>
            </w:r>
          </w:p>
        </w:tc>
        <w:tc>
          <w:tcPr>
            <w:tcW w:type="dxa" w:w="2448"/>
            <w:shd w:fill="3B5323"/>
          </w:tcPr>
          <w:p>
            <w:pPr>
              <w:spacing w:before="40" w:after="40"/>
            </w:pPr>
            <w:r/>
            <w:r>
              <w:rPr>
                <w:rFonts w:ascii="Calibri" w:hAnsi="Calibri"/>
                <w:b/>
                <w:color w:val="FFFFFF"/>
                <w:sz w:val="18"/>
              </w:rPr>
              <w:t>Deliverable</w:t>
            </w:r>
          </w:p>
        </w:tc>
      </w:tr>
      <w:tr>
        <w:tc>
          <w:tcPr>
            <w:tcW w:type="dxa" w:w="1296"/>
            <w:shd w:fill="F2F2F2"/>
          </w:tcPr>
          <w:p>
            <w:pPr>
              <w:spacing w:before="40" w:after="40"/>
            </w:pPr>
            <w:r/>
            <w:r>
              <w:rPr>
                <w:rFonts w:ascii="Calibri" w:hAnsi="Calibri"/>
                <w:b w:val="0"/>
                <w:sz w:val="18"/>
              </w:rPr>
              <w:t>This week</w:t>
            </w:r>
          </w:p>
        </w:tc>
        <w:tc>
          <w:tcPr>
            <w:tcW w:type="dxa" w:w="5904"/>
            <w:shd w:fill="F2F2F2"/>
          </w:tcPr>
          <w:p>
            <w:pPr>
              <w:spacing w:before="40" w:after="40"/>
            </w:pPr>
            <w:r/>
            <w:r>
              <w:rPr>
                <w:rFonts w:ascii="Calibri" w:hAnsi="Calibri"/>
                <w:b w:val="0"/>
                <w:sz w:val="18"/>
              </w:rPr>
              <w:t>Populate empty 'What guests say' sections with real reviews + review schema</w:t>
            </w:r>
          </w:p>
        </w:tc>
        <w:tc>
          <w:tcPr>
            <w:tcW w:type="dxa" w:w="2448"/>
            <w:shd w:fill="F2F2F2"/>
          </w:tcPr>
          <w:p>
            <w:pPr>
              <w:spacing w:before="40" w:after="40"/>
            </w:pPr>
            <w:r/>
            <w:r>
              <w:rPr>
                <w:rFonts w:ascii="Calibri" w:hAnsi="Calibri"/>
                <w:b w:val="0"/>
                <w:sz w:val="18"/>
              </w:rPr>
              <w:t>Conversion Fix #1 - Property Page Reviews</w:t>
            </w:r>
          </w:p>
        </w:tc>
      </w:tr>
      <w:tr>
        <w:tc>
          <w:tcPr>
            <w:tcW w:type="dxa" w:w="1296"/>
            <w:shd w:fill="FFFFFF"/>
          </w:tcPr>
          <w:p>
            <w:pPr>
              <w:spacing w:before="40" w:after="40"/>
            </w:pPr>
            <w:r/>
            <w:r>
              <w:rPr>
                <w:rFonts w:ascii="Calibri" w:hAnsi="Calibri"/>
                <w:b w:val="0"/>
                <w:sz w:val="18"/>
              </w:rPr>
              <w:t>This week</w:t>
            </w:r>
          </w:p>
        </w:tc>
        <w:tc>
          <w:tcPr>
            <w:tcW w:type="dxa" w:w="5904"/>
            <w:shd w:fill="FFFFFF"/>
          </w:tcPr>
          <w:p>
            <w:pPr>
              <w:spacing w:before="40" w:after="40"/>
            </w:pPr>
            <w:r/>
            <w:r>
              <w:rPr>
                <w:rFonts w:ascii="Calibri" w:hAnsi="Calibri"/>
                <w:b w:val="0"/>
                <w:sz w:val="18"/>
              </w:rPr>
              <w:t>Move booking CTAs higher; re-map property links to article intent (family-&gt;Mickey, couples-&gt;1BR, groups-&gt;sleeps-15)</w:t>
            </w:r>
          </w:p>
        </w:tc>
        <w:tc>
          <w:tcPr>
            <w:tcW w:type="dxa" w:w="2448"/>
            <w:shd w:fill="FFFFFF"/>
          </w:tcPr>
          <w:p>
            <w:pPr>
              <w:spacing w:before="40" w:after="40"/>
            </w:pPr>
            <w:r/>
            <w:r>
              <w:rPr>
                <w:rFonts w:ascii="Calibri" w:hAnsi="Calibri"/>
                <w:b w:val="0"/>
                <w:sz w:val="18"/>
              </w:rPr>
              <w:t>Conversion Fix #2 - Blog-&gt;Booking Funnel</w:t>
            </w:r>
          </w:p>
        </w:tc>
      </w:tr>
      <w:tr>
        <w:tc>
          <w:tcPr>
            <w:tcW w:type="dxa" w:w="1296"/>
            <w:shd w:fill="F2F2F2"/>
          </w:tcPr>
          <w:p>
            <w:pPr>
              <w:spacing w:before="40" w:after="40"/>
            </w:pPr>
            <w:r/>
            <w:r>
              <w:rPr>
                <w:rFonts w:ascii="Calibri" w:hAnsi="Calibri"/>
                <w:b w:val="0"/>
                <w:sz w:val="18"/>
              </w:rPr>
              <w:t>This month</w:t>
            </w:r>
          </w:p>
        </w:tc>
        <w:tc>
          <w:tcPr>
            <w:tcW w:type="dxa" w:w="5904"/>
            <w:shd w:fill="F2F2F2"/>
          </w:tcPr>
          <w:p>
            <w:pPr>
              <w:spacing w:before="40" w:after="40"/>
            </w:pPr>
            <w:r/>
            <w:r>
              <w:rPr>
                <w:rFonts w:ascii="Calibri" w:hAnsi="Calibri"/>
                <w:b w:val="0"/>
                <w:sz w:val="18"/>
              </w:rPr>
              <w:t>Stand up GA4 + booking events; attribute bookings; fill KPI conversion rows</w:t>
            </w:r>
          </w:p>
        </w:tc>
        <w:tc>
          <w:tcPr>
            <w:tcW w:type="dxa" w:w="2448"/>
            <w:shd w:fill="F2F2F2"/>
          </w:tcPr>
          <w:p>
            <w:pPr>
              <w:spacing w:before="40" w:after="40"/>
            </w:pPr>
            <w:r/>
            <w:r>
              <w:rPr>
                <w:rFonts w:ascii="Calibri" w:hAnsi="Calibri"/>
                <w:b w:val="0"/>
                <w:sz w:val="18"/>
              </w:rPr>
              <w:t>Conversion Fix #3 - Conversion Tracking</w:t>
            </w:r>
          </w:p>
        </w:tc>
      </w:tr>
      <w:tr>
        <w:tc>
          <w:tcPr>
            <w:tcW w:type="dxa" w:w="1296"/>
            <w:shd w:fill="FFFFFF"/>
          </w:tcPr>
          <w:p>
            <w:pPr>
              <w:spacing w:before="40" w:after="40"/>
            </w:pPr>
            <w:r/>
            <w:r>
              <w:rPr>
                <w:rFonts w:ascii="Calibri" w:hAnsi="Calibri"/>
                <w:b w:val="0"/>
                <w:sz w:val="18"/>
              </w:rPr>
              <w:t>This month</w:t>
            </w:r>
          </w:p>
        </w:tc>
        <w:tc>
          <w:tcPr>
            <w:tcW w:type="dxa" w:w="5904"/>
            <w:shd w:fill="FFFFFF"/>
          </w:tcPr>
          <w:p>
            <w:pPr>
              <w:spacing w:before="40" w:after="40"/>
            </w:pPr>
            <w:r/>
            <w:r>
              <w:rPr>
                <w:rFonts w:ascii="Calibri" w:hAnsi="Calibri"/>
                <w:b w:val="0"/>
                <w:sz w:val="18"/>
              </w:rPr>
              <w:t>Add email capture + a 'Lipa Weekend Planner' lead magnet + nurture sequence</w:t>
            </w:r>
          </w:p>
        </w:tc>
        <w:tc>
          <w:tcPr>
            <w:tcW w:type="dxa" w:w="2448"/>
            <w:shd w:fill="FFFFFF"/>
          </w:tcPr>
          <w:p>
            <w:pPr>
              <w:spacing w:before="40" w:after="40"/>
            </w:pPr>
            <w:r/>
            <w:r>
              <w:rPr>
                <w:rFonts w:ascii="Calibri" w:hAnsi="Calibri"/>
                <w:b w:val="0"/>
                <w:sz w:val="18"/>
              </w:rPr>
              <w:t>Conversion Fix #4 - Email Capture</w:t>
            </w:r>
          </w:p>
        </w:tc>
      </w:tr>
      <w:tr>
        <w:tc>
          <w:tcPr>
            <w:tcW w:type="dxa" w:w="1296"/>
            <w:shd w:fill="F2F2F2"/>
          </w:tcPr>
          <w:p>
            <w:pPr>
              <w:spacing w:before="40" w:after="40"/>
            </w:pPr>
            <w:r/>
            <w:r>
              <w:rPr>
                <w:rFonts w:ascii="Calibri" w:hAnsi="Calibri"/>
                <w:b w:val="0"/>
                <w:sz w:val="18"/>
              </w:rPr>
              <w:t>This quarter</w:t>
            </w:r>
          </w:p>
        </w:tc>
        <w:tc>
          <w:tcPr>
            <w:tcW w:type="dxa" w:w="5904"/>
            <w:shd w:fill="F2F2F2"/>
          </w:tcPr>
          <w:p>
            <w:pPr>
              <w:spacing w:before="40" w:after="40"/>
            </w:pPr>
            <w:r/>
            <w:r>
              <w:rPr>
                <w:rFonts w:ascii="Calibri" w:hAnsi="Calibri"/>
                <w:b w:val="0"/>
                <w:sz w:val="18"/>
              </w:rPr>
              <w:t>Reduce booking friction (deposit option, clearer charges, 'Check Availability' + date picker); shift content mix toward commercial intent; light retargeting</w:t>
            </w:r>
          </w:p>
        </w:tc>
        <w:tc>
          <w:tcPr>
            <w:tcW w:type="dxa" w:w="2448"/>
            <w:shd w:fill="F2F2F2"/>
          </w:tcPr>
          <w:p>
            <w:pPr>
              <w:spacing w:before="40" w:after="40"/>
            </w:pPr>
            <w:r/>
            <w:r>
              <w:rPr>
                <w:rFonts w:ascii="Calibri" w:hAnsi="Calibri"/>
                <w:b w:val="0"/>
                <w:sz w:val="18"/>
              </w:rPr>
              <w:t>In this report</w:t>
            </w:r>
          </w:p>
        </w:tc>
      </w:tr>
    </w:tbl>
    <w:p>
      <w:r>
        <w:rPr>
          <w:rFonts w:ascii="Calibri" w:hAnsi="Calibri"/>
          <w:b w:val="0"/>
          <w:i/>
          <w:sz w:val="20"/>
        </w:rPr>
        <w:t>Sequencing note: Conversion Fix #3 (tracking) unblocks proof for all the others - stand it up in parallel with the week-one review and funnel fixes so their impact is measurable.</w:t>
      </w:r>
    </w:p>
    <w:p>
      <w:pPr>
        <w:pStyle w:val="Heading1"/>
      </w:pPr>
      <w:r>
        <w:rPr>
          <w:rFonts w:ascii="Calibri" w:hAnsi="Calibri"/>
          <w:color w:val="FF5371"/>
        </w:rPr>
        <w:t>Section 5 - KPI Snapshot</w:t>
      </w:r>
    </w:p>
    <w:p>
      <w:r>
        <w:rPr>
          <w:rFonts w:ascii="Calibri" w:hAnsi="Calibri"/>
          <w:b w:val="0"/>
          <w:i w:val="0"/>
          <w:sz w:val="21"/>
        </w:rPr>
        <w:t>From the SEO Tracker KPI Dashboard (baseline in progress):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312"/>
            <w:shd w:fill="3B5323"/>
          </w:tcPr>
          <w:p>
            <w:pPr>
              <w:spacing w:before="40" w:after="40"/>
            </w:pPr>
            <w:r/>
            <w:r>
              <w:rPr>
                <w:rFonts w:ascii="Calibri" w:hAnsi="Calibri"/>
                <w:b/>
                <w:color w:val="FFFFFF"/>
                <w:sz w:val="18"/>
              </w:rPr>
              <w:t>KPI</w:t>
            </w:r>
          </w:p>
        </w:tc>
        <w:tc>
          <w:tcPr>
            <w:tcW w:type="dxa" w:w="1008"/>
            <w:shd w:fill="3B5323"/>
          </w:tcPr>
          <w:p>
            <w:pPr>
              <w:spacing w:before="40" w:after="40"/>
            </w:pPr>
            <w:r/>
            <w:r>
              <w:rPr>
                <w:rFonts w:ascii="Calibri" w:hAnsi="Calibri"/>
                <w:b/>
                <w:color w:val="FFFFFF"/>
                <w:sz w:val="18"/>
              </w:rPr>
              <w:t>May</w:t>
            </w:r>
          </w:p>
        </w:tc>
        <w:tc>
          <w:tcPr>
            <w:tcW w:type="dxa" w:w="1008"/>
            <w:shd w:fill="3B5323"/>
          </w:tcPr>
          <w:p>
            <w:pPr>
              <w:spacing w:before="40" w:after="40"/>
            </w:pPr>
            <w:r/>
            <w:r>
              <w:rPr>
                <w:rFonts w:ascii="Calibri" w:hAnsi="Calibri"/>
                <w:b/>
                <w:color w:val="FFFFFF"/>
                <w:sz w:val="18"/>
              </w:rPr>
              <w:t>Jun</w:t>
            </w:r>
          </w:p>
        </w:tc>
        <w:tc>
          <w:tcPr>
            <w:tcW w:type="dxa" w:w="1008"/>
            <w:shd w:fill="3B5323"/>
          </w:tcPr>
          <w:p>
            <w:pPr>
              <w:spacing w:before="40" w:after="40"/>
            </w:pPr>
            <w:r/>
            <w:r>
              <w:rPr>
                <w:rFonts w:ascii="Calibri" w:hAnsi="Calibri"/>
                <w:b/>
                <w:color w:val="FFFFFF"/>
                <w:sz w:val="18"/>
              </w:rPr>
              <w:t>Jul</w:t>
            </w:r>
          </w:p>
        </w:tc>
        <w:tc>
          <w:tcPr>
            <w:tcW w:type="dxa" w:w="3312"/>
            <w:shd w:fill="3B5323"/>
          </w:tcPr>
          <w:p>
            <w:pPr>
              <w:spacing w:before="40" w:after="40"/>
            </w:pPr>
            <w:r/>
            <w:r>
              <w:rPr>
                <w:rFonts w:ascii="Calibri" w:hAnsi="Calibri"/>
                <w:b/>
                <w:color w:val="FFFFFF"/>
                <w:sz w:val="18"/>
              </w:rPr>
              <w:t>Read</w:t>
            </w:r>
          </w:p>
        </w:tc>
      </w:tr>
      <w:tr>
        <w:tc>
          <w:tcPr>
            <w:tcW w:type="dxa" w:w="3312"/>
            <w:shd w:fill="F2F2F2"/>
          </w:tcPr>
          <w:p>
            <w:pPr>
              <w:spacing w:before="40" w:after="40"/>
            </w:pPr>
            <w:r/>
            <w:r>
              <w:rPr>
                <w:rFonts w:ascii="Calibri" w:hAnsi="Calibri"/>
                <w:b w:val="0"/>
                <w:sz w:val="18"/>
              </w:rPr>
              <w:t>Indexed Pages</w:t>
            </w:r>
          </w:p>
        </w:tc>
        <w:tc>
          <w:tcPr>
            <w:tcW w:type="dxa" w:w="1008"/>
            <w:shd w:fill="F2F2F2"/>
          </w:tcPr>
          <w:p>
            <w:pPr>
              <w:spacing w:before="40" w:after="40"/>
            </w:pPr>
            <w:r/>
            <w:r>
              <w:rPr>
                <w:rFonts w:ascii="Calibri" w:hAnsi="Calibri"/>
                <w:b w:val="0"/>
                <w:sz w:val="18"/>
              </w:rPr>
              <w:t>20</w:t>
            </w:r>
          </w:p>
        </w:tc>
        <w:tc>
          <w:tcPr>
            <w:tcW w:type="dxa" w:w="1008"/>
            <w:shd w:fill="F2F2F2"/>
          </w:tcPr>
          <w:p>
            <w:pPr>
              <w:spacing w:before="40" w:after="40"/>
            </w:pPr>
            <w:r/>
            <w:r>
              <w:rPr>
                <w:rFonts w:ascii="Calibri" w:hAnsi="Calibri"/>
                <w:b w:val="0"/>
                <w:sz w:val="18"/>
              </w:rPr>
              <w:t>25</w:t>
            </w:r>
          </w:p>
        </w:tc>
        <w:tc>
          <w:tcPr>
            <w:tcW w:type="dxa" w:w="1008"/>
            <w:shd w:fill="F2F2F2"/>
          </w:tcPr>
          <w:p>
            <w:pPr>
              <w:spacing w:before="40" w:after="40"/>
            </w:pPr>
            <w:r/>
            <w:r>
              <w:rPr>
                <w:rFonts w:ascii="Calibri" w:hAnsi="Calibri"/>
                <w:b w:val="0"/>
                <w:sz w:val="18"/>
              </w:rPr>
              <w:t>31</w:t>
            </w:r>
          </w:p>
        </w:tc>
        <w:tc>
          <w:tcPr>
            <w:tcW w:type="dxa" w:w="3312"/>
            <w:shd w:fill="F2F2F2"/>
          </w:tcPr>
          <w:p>
            <w:pPr>
              <w:spacing w:before="40" w:after="40"/>
            </w:pPr>
            <w:r/>
            <w:r>
              <w:rPr>
                <w:rFonts w:ascii="Calibri" w:hAnsi="Calibri"/>
                <w:b w:val="0"/>
                <w:sz w:val="18"/>
              </w:rPr>
              <w:t>Rising - healthy indexing</w:t>
            </w:r>
          </w:p>
        </w:tc>
      </w:tr>
      <w:tr>
        <w:tc>
          <w:tcPr>
            <w:tcW w:type="dxa" w:w="3312"/>
            <w:shd w:fill="FFFFFF"/>
          </w:tcPr>
          <w:p>
            <w:pPr>
              <w:spacing w:before="40" w:after="40"/>
            </w:pPr>
            <w:r/>
            <w:r>
              <w:rPr>
                <w:rFonts w:ascii="Calibri" w:hAnsi="Calibri"/>
                <w:b w:val="0"/>
                <w:sz w:val="18"/>
              </w:rPr>
              <w:t>Impressions / Clicks / Traffic</w:t>
            </w:r>
          </w:p>
        </w:tc>
        <w:tc>
          <w:tcPr>
            <w:tcW w:type="dxa" w:w="1008"/>
            <w:shd w:fill="FFFFFF"/>
          </w:tcPr>
          <w:p>
            <w:pPr>
              <w:spacing w:before="40" w:after="40"/>
            </w:pPr>
            <w:r/>
            <w:r>
              <w:rPr>
                <w:rFonts w:ascii="Calibri" w:hAnsi="Calibri"/>
                <w:b w:val="0"/>
                <w:sz w:val="18"/>
              </w:rPr>
              <w:t>-</w:t>
            </w:r>
          </w:p>
        </w:tc>
        <w:tc>
          <w:tcPr>
            <w:tcW w:type="dxa" w:w="1008"/>
            <w:shd w:fill="FFFFFF"/>
          </w:tcPr>
          <w:p>
            <w:pPr>
              <w:spacing w:before="40" w:after="40"/>
            </w:pPr>
            <w:r/>
            <w:r>
              <w:rPr>
                <w:rFonts w:ascii="Calibri" w:hAnsi="Calibri"/>
                <w:b w:val="0"/>
                <w:sz w:val="18"/>
              </w:rPr>
              <w:t>-</w:t>
            </w:r>
          </w:p>
        </w:tc>
        <w:tc>
          <w:tcPr>
            <w:tcW w:type="dxa" w:w="1008"/>
            <w:shd w:fill="FFFFFF"/>
          </w:tcPr>
          <w:p>
            <w:pPr>
              <w:spacing w:before="40" w:after="40"/>
            </w:pPr>
            <w:r/>
            <w:r>
              <w:rPr>
                <w:rFonts w:ascii="Calibri" w:hAnsi="Calibri"/>
                <w:b w:val="0"/>
                <w:sz w:val="18"/>
              </w:rPr>
              <w:t>up</w:t>
            </w:r>
          </w:p>
        </w:tc>
        <w:tc>
          <w:tcPr>
            <w:tcW w:type="dxa" w:w="3312"/>
            <w:shd w:fill="FFFFFF"/>
          </w:tcPr>
          <w:p>
            <w:pPr>
              <w:spacing w:before="40" w:after="40"/>
            </w:pPr>
            <w:r/>
            <w:r>
              <w:rPr>
                <w:rFonts w:ascii="Calibri" w:hAnsi="Calibri"/>
                <w:b w:val="0"/>
                <w:sz w:val="18"/>
              </w:rPr>
              <w:t>Leading + traffic tiers working</w:t>
            </w:r>
          </w:p>
        </w:tc>
      </w:tr>
      <w:tr>
        <w:tc>
          <w:tcPr>
            <w:tcW w:type="dxa" w:w="3312"/>
            <w:shd w:fill="F2F2F2"/>
          </w:tcPr>
          <w:p>
            <w:pPr>
              <w:spacing w:before="40" w:after="40"/>
            </w:pPr>
            <w:r/>
            <w:r>
              <w:rPr>
                <w:rFonts w:ascii="Calibri" w:hAnsi="Calibri"/>
                <w:b w:val="0"/>
                <w:sz w:val="18"/>
              </w:rPr>
              <w:t>Bookings (approx.)</w:t>
            </w:r>
          </w:p>
        </w:tc>
        <w:tc>
          <w:tcPr>
            <w:tcW w:type="dxa" w:w="1008"/>
            <w:shd w:fill="F2F2F2"/>
          </w:tcPr>
          <w:p>
            <w:pPr>
              <w:spacing w:before="40" w:after="40"/>
            </w:pPr>
            <w:r/>
            <w:r>
              <w:rPr>
                <w:rFonts w:ascii="Calibri" w:hAnsi="Calibri"/>
                <w:b w:val="0"/>
                <w:sz w:val="18"/>
              </w:rPr>
              <w:t>-</w:t>
            </w:r>
          </w:p>
        </w:tc>
        <w:tc>
          <w:tcPr>
            <w:tcW w:type="dxa" w:w="1008"/>
            <w:shd w:fill="F2F2F2"/>
          </w:tcPr>
          <w:p>
            <w:pPr>
              <w:spacing w:before="40" w:after="40"/>
            </w:pPr>
            <w:r/>
            <w:r>
              <w:rPr>
                <w:rFonts w:ascii="Calibri" w:hAnsi="Calibri"/>
                <w:b w:val="0"/>
                <w:sz w:val="18"/>
              </w:rPr>
              <w:t>-</w:t>
            </w:r>
          </w:p>
        </w:tc>
        <w:tc>
          <w:tcPr>
            <w:tcW w:type="dxa" w:w="1008"/>
            <w:shd w:fill="F2F2F2"/>
          </w:tcPr>
          <w:p>
            <w:pPr>
              <w:spacing w:before="40" w:after="40"/>
            </w:pPr>
            <w:r/>
            <w:r>
              <w:rPr>
                <w:rFonts w:ascii="Calibri" w:hAnsi="Calibri"/>
                <w:b w:val="0"/>
                <w:sz w:val="18"/>
              </w:rPr>
              <w:t>~2</w:t>
            </w:r>
          </w:p>
        </w:tc>
        <w:tc>
          <w:tcPr>
            <w:tcW w:type="dxa" w:w="3312"/>
            <w:shd w:fill="F2F2F2"/>
          </w:tcPr>
          <w:p>
            <w:pPr>
              <w:spacing w:before="40" w:after="40"/>
            </w:pPr>
            <w:r/>
            <w:r>
              <w:rPr>
                <w:rFonts w:ascii="Calibri" w:hAnsi="Calibri"/>
                <w:b w:val="0"/>
                <w:sz w:val="18"/>
              </w:rPr>
              <w:t>Flat - the conversion gap</w:t>
            </w:r>
          </w:p>
        </w:tc>
      </w:tr>
      <w:tr>
        <w:tc>
          <w:tcPr>
            <w:tcW w:type="dxa" w:w="3312"/>
            <w:shd w:fill="FFFFFF"/>
          </w:tcPr>
          <w:p>
            <w:pPr>
              <w:spacing w:before="40" w:after="40"/>
            </w:pPr>
            <w:r/>
            <w:r>
              <w:rPr>
                <w:rFonts w:ascii="Calibri" w:hAnsi="Calibri"/>
                <w:b w:val="0"/>
                <w:sz w:val="18"/>
              </w:rPr>
              <w:t>Organic Conversion Rate</w:t>
            </w:r>
          </w:p>
        </w:tc>
        <w:tc>
          <w:tcPr>
            <w:tcW w:type="dxa" w:w="1008"/>
            <w:shd w:fill="FFFFFF"/>
          </w:tcPr>
          <w:p>
            <w:pPr>
              <w:spacing w:before="40" w:after="40"/>
            </w:pPr>
            <w:r/>
            <w:r>
              <w:rPr>
                <w:rFonts w:ascii="Calibri" w:hAnsi="Calibri"/>
                <w:b w:val="0"/>
                <w:sz w:val="18"/>
              </w:rPr>
              <w:t>-</w:t>
            </w:r>
          </w:p>
        </w:tc>
        <w:tc>
          <w:tcPr>
            <w:tcW w:type="dxa" w:w="1008"/>
            <w:shd w:fill="FFFFFF"/>
          </w:tcPr>
          <w:p>
            <w:pPr>
              <w:spacing w:before="40" w:after="40"/>
            </w:pPr>
            <w:r/>
            <w:r>
              <w:rPr>
                <w:rFonts w:ascii="Calibri" w:hAnsi="Calibri"/>
                <w:b w:val="0"/>
                <w:sz w:val="18"/>
              </w:rPr>
              <w:t>-</w:t>
            </w:r>
          </w:p>
        </w:tc>
        <w:tc>
          <w:tcPr>
            <w:tcW w:type="dxa" w:w="1008"/>
            <w:shd w:fill="FFFFFF"/>
          </w:tcPr>
          <w:p>
            <w:pPr>
              <w:spacing w:before="40" w:after="40"/>
            </w:pPr>
            <w:r/>
            <w:r>
              <w:rPr>
                <w:rFonts w:ascii="Calibri" w:hAnsi="Calibri"/>
                <w:b w:val="0"/>
                <w:sz w:val="18"/>
              </w:rPr>
              <w:t>not tracked</w:t>
            </w:r>
          </w:p>
        </w:tc>
        <w:tc>
          <w:tcPr>
            <w:tcW w:type="dxa" w:w="3312"/>
            <w:shd w:fill="FFFFFF"/>
          </w:tcPr>
          <w:p>
            <w:pPr>
              <w:spacing w:before="40" w:after="40"/>
            </w:pPr>
            <w:r/>
            <w:r>
              <w:rPr>
                <w:rFonts w:ascii="Calibri" w:hAnsi="Calibri"/>
                <w:b w:val="0"/>
                <w:sz w:val="18"/>
              </w:rPr>
              <w:t>Blocked until Conversion Fix #3</w:t>
            </w:r>
          </w:p>
        </w:tc>
      </w:tr>
    </w:tbl>
    <w:p>
      <w:r>
        <w:rPr>
          <w:rFonts w:ascii="Calibri" w:hAnsi="Calibri"/>
          <w:b w:val="0"/>
          <w:i w:val="0"/>
          <w:sz w:val="21"/>
        </w:rPr>
        <w:t>The dashboard's job now is to make the conversion tier real - once tracking lands, Organic Conversions and Conversion Rate become the headline numbers for proving ROI, not traffic alone.</w:t>
      </w:r>
    </w:p>
    <w:p>
      <w:r>
        <w:rPr>
          <w:rFonts w:ascii="Calibri" w:hAnsi="Calibri"/>
          <w:b w:val="0"/>
          <w:i w:val="0"/>
          <w:sz w:val="21"/>
        </w:rPr>
      </w:r>
    </w:p>
    <w:p>
      <w:r>
        <w:rPr>
          <w:rFonts w:ascii="Calibri" w:hAnsi="Calibri"/>
          <w:b w:val="0"/>
          <w:i/>
          <w:color w:val="666666"/>
          <w:sz w:val="18"/>
        </w:rPr>
        <w:t>Prepared by NetCoreSolutions - SEO Delta Audit, July 4, 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