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9E701" w14:textId="7083CBA7" w:rsidR="00BC2AC9" w:rsidRDefault="003F7B54" w:rsidP="004E4E03">
      <w:pPr>
        <w:pStyle w:val="Heading"/>
        <w:jc w:val="center"/>
        <w:rPr>
          <w:lang w:val="en-GB"/>
        </w:rPr>
      </w:pPr>
      <w:bookmarkStart w:id="0" w:name="_Hlk69298271"/>
      <w:bookmarkEnd w:id="0"/>
      <w:r>
        <w:rPr>
          <w:lang w:val="en-GB"/>
        </w:rPr>
        <w:t xml:space="preserve">Metagenomic evidence for a </w:t>
      </w:r>
      <w:r w:rsidR="00BC2AC9">
        <w:rPr>
          <w:lang w:val="en-GB"/>
        </w:rPr>
        <w:t>healthy human blood microbiome</w:t>
      </w:r>
    </w:p>
    <w:p w14:paraId="5460104A" w14:textId="77777777" w:rsidR="00BC2AC9" w:rsidRDefault="00BC2AC9" w:rsidP="00BC2AC9">
      <w:pPr>
        <w:spacing w:line="480" w:lineRule="auto"/>
        <w:rPr>
          <w:rFonts w:cs="Times New Roman"/>
          <w:b/>
          <w:sz w:val="28"/>
          <w:szCs w:val="32"/>
          <w:lang w:val="en-GB"/>
        </w:rPr>
      </w:pPr>
    </w:p>
    <w:p w14:paraId="045DDBB3" w14:textId="69AF71F5" w:rsidR="00BC2AC9" w:rsidRDefault="00BC2AC9" w:rsidP="004E4E03">
      <w:pPr>
        <w:spacing w:line="480" w:lineRule="auto"/>
        <w:jc w:val="center"/>
        <w:rPr>
          <w:rFonts w:cs="Times New Roman"/>
          <w:szCs w:val="28"/>
          <w:vertAlign w:val="superscript"/>
          <w:lang w:val="en-GB"/>
        </w:rPr>
      </w:pPr>
      <w:r>
        <w:rPr>
          <w:rFonts w:cs="Times New Roman"/>
          <w:szCs w:val="28"/>
          <w:lang w:val="en-GB"/>
        </w:rPr>
        <w:t xml:space="preserve">Cedric </w:t>
      </w:r>
      <w:r w:rsidR="006F1AB1">
        <w:rPr>
          <w:rFonts w:cs="Times New Roman"/>
          <w:szCs w:val="28"/>
          <w:lang w:val="en-GB"/>
        </w:rPr>
        <w:t>C.S.</w:t>
      </w:r>
      <w:r>
        <w:rPr>
          <w:rFonts w:cs="Times New Roman"/>
          <w:szCs w:val="28"/>
          <w:lang w:val="en-GB"/>
        </w:rPr>
        <w:t xml:space="preserve"> Tan</w:t>
      </w:r>
    </w:p>
    <w:p w14:paraId="6208723A" w14:textId="77777777" w:rsidR="004E4E03" w:rsidRDefault="00BC2AC9" w:rsidP="004E4E03">
      <w:pPr>
        <w:spacing w:line="480" w:lineRule="auto"/>
        <w:jc w:val="center"/>
        <w:rPr>
          <w:rFonts w:cs="Times New Roman"/>
          <w:szCs w:val="24"/>
          <w:lang w:val="en-GB"/>
        </w:rPr>
      </w:pPr>
      <w:r>
        <w:rPr>
          <w:rFonts w:cs="Times New Roman"/>
          <w:szCs w:val="24"/>
          <w:lang w:val="en-GB"/>
        </w:rPr>
        <w:t>Department of Structural and Molecular Biology</w:t>
      </w:r>
    </w:p>
    <w:p w14:paraId="192CF4EF" w14:textId="1AF91E34" w:rsidR="004E4E03" w:rsidRDefault="00BC2AC9" w:rsidP="004E4E03">
      <w:pPr>
        <w:spacing w:line="480" w:lineRule="auto"/>
        <w:jc w:val="center"/>
        <w:rPr>
          <w:rFonts w:cs="Times New Roman"/>
          <w:szCs w:val="24"/>
          <w:lang w:val="en-GB"/>
        </w:rPr>
      </w:pPr>
      <w:r>
        <w:rPr>
          <w:rFonts w:cs="Times New Roman"/>
          <w:szCs w:val="24"/>
          <w:lang w:val="en-GB"/>
        </w:rPr>
        <w:t>University College London</w:t>
      </w:r>
    </w:p>
    <w:p w14:paraId="0737F193" w14:textId="61807C49" w:rsidR="00BC2AC9" w:rsidRDefault="00BC2AC9" w:rsidP="004E4E03">
      <w:pPr>
        <w:spacing w:line="480" w:lineRule="auto"/>
        <w:jc w:val="center"/>
        <w:rPr>
          <w:rFonts w:cs="Times New Roman"/>
          <w:szCs w:val="24"/>
          <w:lang w:val="en-GB"/>
        </w:rPr>
      </w:pPr>
      <w:r>
        <w:rPr>
          <w:rFonts w:cs="Times New Roman"/>
          <w:szCs w:val="24"/>
          <w:lang w:val="en-GB"/>
        </w:rPr>
        <w:t>Gower Street, London, WC1E 6BT, United Kingdom</w:t>
      </w:r>
    </w:p>
    <w:p w14:paraId="3ABB64D1" w14:textId="77777777" w:rsidR="004E4E03" w:rsidRDefault="004E4E03">
      <w:pPr>
        <w:spacing w:line="259" w:lineRule="auto"/>
        <w:rPr>
          <w:rFonts w:eastAsiaTheme="majorEastAsia" w:cstheme="majorBidi"/>
          <w:b/>
          <w:sz w:val="28"/>
          <w:szCs w:val="32"/>
        </w:rPr>
      </w:pPr>
      <w:r>
        <w:br w:type="page"/>
      </w:r>
    </w:p>
    <w:p w14:paraId="7842C33C" w14:textId="77777777" w:rsidR="004E4E03" w:rsidRDefault="004E4E03" w:rsidP="00BC2AC9">
      <w:pPr>
        <w:pStyle w:val="Heading1"/>
      </w:pPr>
      <w:r>
        <w:lastRenderedPageBreak/>
        <w:t>Graphical abstract</w:t>
      </w:r>
    </w:p>
    <w:p w14:paraId="1BF6B64A" w14:textId="276B819C" w:rsidR="00AF7E98" w:rsidRDefault="004E4E03" w:rsidP="00BC2AC9">
      <w:pPr>
        <w:pStyle w:val="Heading1"/>
      </w:pPr>
      <w:r>
        <w:t>Summary</w:t>
      </w:r>
      <w:r w:rsidR="003A14AE">
        <w:t xml:space="preserve"> (150)</w:t>
      </w:r>
    </w:p>
    <w:p w14:paraId="7E15B10C" w14:textId="4BEE7D89" w:rsidR="00AF7E98" w:rsidRPr="00AF7E98" w:rsidRDefault="00E0041A" w:rsidP="00AF7E98">
      <w:pPr>
        <w:spacing w:line="259" w:lineRule="auto"/>
      </w:pPr>
      <w:r>
        <w:t>150 words</w:t>
      </w:r>
      <w:r w:rsidR="00AF7E98">
        <w:br w:type="page"/>
      </w:r>
    </w:p>
    <w:p w14:paraId="5C0F15B8" w14:textId="5B126F83" w:rsidR="00AF7E98" w:rsidRPr="00AF7E98" w:rsidRDefault="00AF7E98" w:rsidP="00AF7E98">
      <w:pPr>
        <w:pStyle w:val="Heading1"/>
      </w:pPr>
      <w:r>
        <w:lastRenderedPageBreak/>
        <w:t>Introduction</w:t>
      </w:r>
      <w:r w:rsidR="003A14AE">
        <w:t xml:space="preserve"> (553)</w:t>
      </w:r>
    </w:p>
    <w:p w14:paraId="12786C77" w14:textId="4C62E27F" w:rsidR="0041261F" w:rsidRDefault="00576BB5" w:rsidP="00D1385C">
      <w:pPr>
        <w:rPr>
          <w:rFonts w:cs="Times New Roman"/>
          <w:szCs w:val="24"/>
          <w:lang w:val="en-GB"/>
        </w:rPr>
      </w:pPr>
      <w:r>
        <w:rPr>
          <w:rFonts w:cs="Times New Roman"/>
          <w:szCs w:val="24"/>
          <w:lang w:val="en-GB"/>
        </w:rPr>
        <w:t xml:space="preserve">Human blood has traditionally been considered to be </w:t>
      </w:r>
      <w:r w:rsidR="006C7C22">
        <w:rPr>
          <w:rFonts w:cs="Times New Roman"/>
          <w:szCs w:val="24"/>
          <w:lang w:val="en-GB"/>
        </w:rPr>
        <w:t>sterile</w:t>
      </w:r>
      <w:r w:rsidR="0032048C">
        <w:rPr>
          <w:rFonts w:cs="Times New Roman"/>
          <w:szCs w:val="24"/>
          <w:lang w:val="en-GB"/>
        </w:rPr>
        <w:t>, where th</w:t>
      </w:r>
      <w:r w:rsidR="006C7C22">
        <w:rPr>
          <w:rFonts w:cs="Times New Roman"/>
          <w:szCs w:val="24"/>
          <w:lang w:val="en-GB"/>
        </w:rPr>
        <w:t xml:space="preserve">e occasional entry of microorganisms is believed to cause bloodstream infections </w:t>
      </w:r>
      <w:r w:rsidR="0032048C">
        <w:rPr>
          <w:rFonts w:cs="Times New Roman"/>
          <w:szCs w:val="24"/>
          <w:lang w:val="en-GB"/>
        </w:rPr>
        <w:t>(BSIs)</w:t>
      </w:r>
      <w:r w:rsidR="006E7F3F">
        <w:rPr>
          <w:rFonts w:cs="Times New Roman"/>
          <w:szCs w:val="24"/>
          <w:lang w:val="en-GB"/>
        </w:rPr>
        <w:t xml:space="preserve"> </w:t>
      </w:r>
      <w:r w:rsidR="0032048C">
        <w:rPr>
          <w:rFonts w:cs="Times New Roman"/>
          <w:szCs w:val="24"/>
          <w:lang w:val="en-GB"/>
        </w:rPr>
        <w:t xml:space="preserve">associated with high mortality and morbidity </w:t>
      </w:r>
      <w:r w:rsidR="006E7F3F">
        <w:rPr>
          <w:rFonts w:cs="Times New Roman"/>
          <w:szCs w:val="24"/>
          <w:lang w:val="en-GB"/>
        </w:rPr>
        <w:fldChar w:fldCharType="begin" w:fldLock="1"/>
      </w:r>
      <w:r w:rsidR="00AF7E98">
        <w:rPr>
          <w:rFonts w:cs="Times New Roman"/>
          <w:szCs w:val="24"/>
          <w:lang w:val="en-GB"/>
        </w:rPr>
        <w:instrText>ADDIN CSL_CITATION {"citationItems":[{"id":"ITEM-1","itemData":{"ISSN":"1198-743X","author":[{"dropping-particle":"","family":"Goto","given":"M","non-dropping-particle":"","parse-names":false,"suffix":""},{"dropping-particle":"","family":"Al-Hasan","given":"M N","non-dropping-particle":"","parse-names":false,"suffix":""}],"container-title":"Clinical Microbiology and Infection","id":"ITEM-1","issue":"6","issued":{"date-parts":[["2013"]]},"page":"501-509","publisher":"Elsevier","title":"Overall burden of bloodstream infection and nosocomial bloodstream infection in North America and Europe","type":"article-journal","volume":"19"},"uris":["http://www.mendeley.com/documents/?uuid=912939bd-a2f0-422e-bd75-f6a688f39325"]}],"mendeley":{"formattedCitation":"(Goto and Al-Hasan, 2013)","plainTextFormattedCitation":"(Goto and Al-Hasan, 2013)","previouslyFormattedCitation":"(Goto and Al-Hasan, 2013)"},"properties":{"noteIndex":0},"schema":"https://github.com/citation-style-language/schema/raw/master/csl-citation.json"}</w:instrText>
      </w:r>
      <w:r w:rsidR="006E7F3F">
        <w:rPr>
          <w:rFonts w:cs="Times New Roman"/>
          <w:szCs w:val="24"/>
          <w:lang w:val="en-GB"/>
        </w:rPr>
        <w:fldChar w:fldCharType="separate"/>
      </w:r>
      <w:r w:rsidR="006E7F3F" w:rsidRPr="006E7F3F">
        <w:rPr>
          <w:rFonts w:cs="Times New Roman"/>
          <w:noProof/>
          <w:szCs w:val="24"/>
          <w:lang w:val="en-GB"/>
        </w:rPr>
        <w:t>(Goto and Al-Hasan, 2013)</w:t>
      </w:r>
      <w:r w:rsidR="006E7F3F">
        <w:rPr>
          <w:rFonts w:cs="Times New Roman"/>
          <w:szCs w:val="24"/>
          <w:lang w:val="en-GB"/>
        </w:rPr>
        <w:fldChar w:fldCharType="end"/>
      </w:r>
      <w:r w:rsidR="0032048C">
        <w:rPr>
          <w:rFonts w:cs="Times New Roman"/>
          <w:szCs w:val="24"/>
          <w:lang w:val="en-GB"/>
        </w:rPr>
        <w:t>.</w:t>
      </w:r>
      <w:r w:rsidR="006C7C22">
        <w:rPr>
          <w:rFonts w:cs="Times New Roman"/>
          <w:szCs w:val="24"/>
          <w:lang w:val="en-GB"/>
        </w:rPr>
        <w:t xml:space="preserve"> </w:t>
      </w:r>
      <w:r w:rsidR="004F63A3">
        <w:rPr>
          <w:rFonts w:cs="Times New Roman"/>
          <w:szCs w:val="24"/>
          <w:lang w:val="en-GB"/>
        </w:rPr>
        <w:t xml:space="preserve">However, there have been an increasing number of studies </w:t>
      </w:r>
      <w:r w:rsidR="00782EC9">
        <w:rPr>
          <w:rFonts w:cs="Times New Roman"/>
          <w:szCs w:val="24"/>
          <w:lang w:val="en-GB"/>
        </w:rPr>
        <w:t>reporting</w:t>
      </w:r>
      <w:r w:rsidR="004F63A3">
        <w:rPr>
          <w:rFonts w:cs="Times New Roman"/>
          <w:szCs w:val="24"/>
          <w:lang w:val="en-GB"/>
        </w:rPr>
        <w:t xml:space="preserve"> bacterial DNA </w:t>
      </w:r>
      <w:r w:rsidR="00782EC9">
        <w:rPr>
          <w:rFonts w:cs="Times New Roman"/>
          <w:szCs w:val="24"/>
          <w:lang w:val="en-GB"/>
        </w:rPr>
        <w:t xml:space="preserve">or even culturable bacteria </w:t>
      </w:r>
      <w:r w:rsidR="004F63A3">
        <w:rPr>
          <w:rFonts w:cs="Times New Roman"/>
          <w:szCs w:val="24"/>
          <w:lang w:val="en-GB"/>
        </w:rPr>
        <w:t xml:space="preserve">in the blood of </w:t>
      </w:r>
      <w:r w:rsidR="00782EC9">
        <w:rPr>
          <w:rFonts w:cs="Times New Roman"/>
          <w:szCs w:val="24"/>
          <w:lang w:val="en-GB"/>
        </w:rPr>
        <w:t>apparently ‘</w:t>
      </w:r>
      <w:r w:rsidR="004F63A3">
        <w:rPr>
          <w:rFonts w:cs="Times New Roman"/>
          <w:szCs w:val="24"/>
          <w:lang w:val="en-GB"/>
        </w:rPr>
        <w:t>healthy</w:t>
      </w:r>
      <w:r w:rsidR="00782EC9">
        <w:rPr>
          <w:rFonts w:cs="Times New Roman"/>
          <w:szCs w:val="24"/>
          <w:lang w:val="en-GB"/>
        </w:rPr>
        <w:t>’</w:t>
      </w:r>
      <w:r w:rsidR="004F63A3">
        <w:rPr>
          <w:rFonts w:cs="Times New Roman"/>
          <w:szCs w:val="24"/>
          <w:lang w:val="en-GB"/>
        </w:rPr>
        <w:t xml:space="preserve"> </w:t>
      </w:r>
      <w:r w:rsidR="00860D9C">
        <w:rPr>
          <w:rFonts w:cs="Times New Roman"/>
          <w:szCs w:val="24"/>
          <w:lang w:val="en-GB"/>
        </w:rPr>
        <w:t>individuals</w:t>
      </w:r>
      <w:r w:rsidR="00782EC9">
        <w:rPr>
          <w:rFonts w:cs="Times New Roman"/>
          <w:szCs w:val="24"/>
          <w:lang w:val="en-GB"/>
        </w:rPr>
        <w:t xml:space="preserve"> (</w:t>
      </w:r>
      <w:r w:rsidR="00782EC9" w:rsidRPr="00782EC9">
        <w:rPr>
          <w:rFonts w:cs="Times New Roman"/>
          <w:i/>
          <w:iCs/>
          <w:szCs w:val="24"/>
          <w:lang w:val="en-GB"/>
        </w:rPr>
        <w:t>i.e.</w:t>
      </w:r>
      <w:r w:rsidR="00782EC9">
        <w:rPr>
          <w:rFonts w:cs="Times New Roman"/>
          <w:szCs w:val="24"/>
          <w:lang w:val="en-GB"/>
        </w:rPr>
        <w:t xml:space="preserve"> with no clinical symptoms of disease) </w:t>
      </w:r>
      <w:r w:rsidR="004D34D8">
        <w:rPr>
          <w:rFonts w:cs="Times New Roman"/>
          <w:szCs w:val="24"/>
          <w:lang w:val="en-GB"/>
        </w:rPr>
        <w:t xml:space="preserve">(reviewed by </w:t>
      </w:r>
      <w:r w:rsidR="00AF7E98">
        <w:rPr>
          <w:rFonts w:cs="Times New Roman"/>
          <w:szCs w:val="24"/>
          <w:lang w:val="en-GB"/>
        </w:rPr>
        <w:fldChar w:fldCharType="begin" w:fldLock="1"/>
      </w:r>
      <w:r w:rsidR="00E8562C">
        <w:rPr>
          <w:rFonts w:cs="Times New Roman"/>
          <w:szCs w:val="24"/>
          <w:lang w:val="en-GB"/>
        </w:rPr>
        <w:instrText>ADDIN CSL_CITATION {"citationItems":[{"id":"ITEM-1","itemData":{"ISSN":"2235-2988","author":[{"dropping-particle":"","family":"Castillo","given":"Diego José","non-dropping-particle":"","parse-names":false,"suffix":""},{"dropping-particle":"","family":"Rifkin","given":"Riaan Francios","non-dropping-particle":"","parse-names":false,"suffix":""},{"dropping-particle":"","family":"Cowan","given":"Don A","non-dropping-particle":"","parse-names":false,"suffix":""},{"dropping-particle":"","family":"Potgieter","given":"Marnie","non-dropping-particle":"","parse-names":false,"suffix":""}],"container-title":"Frontiers in cellular and infection microbiology","id":"ITEM-1","issued":{"date-parts":[["2019"]]},"page":"148","publisher":"Frontiers","title":"The healthy human blood microbiome: Fact or fiction?","type":"article-journal","volume":"9"},"uris":["http://www.mendeley.com/documents/?uuid=d344033d-5271-4633-9133-119a758ce730"]}],"mendeley":{"formattedCitation":"(Castillo &lt;i&gt;et al.&lt;/i&gt;, 2019)","manualFormatting":"Castillo et al. (2019)","plainTextFormattedCitation":"(Castillo et al., 2019)","previouslyFormattedCitation":"(Castillo &lt;i&gt;et al.&lt;/i&gt;, 2019)"},"properties":{"noteIndex":0},"schema":"https://github.com/citation-style-language/schema/raw/master/csl-citation.json"}</w:instrText>
      </w:r>
      <w:r w:rsidR="00AF7E98">
        <w:rPr>
          <w:rFonts w:cs="Times New Roman"/>
          <w:szCs w:val="24"/>
          <w:lang w:val="en-GB"/>
        </w:rPr>
        <w:fldChar w:fldCharType="separate"/>
      </w:r>
      <w:r w:rsidR="00AF7E98" w:rsidRPr="00AF7E98">
        <w:rPr>
          <w:rFonts w:cs="Times New Roman"/>
          <w:noProof/>
          <w:szCs w:val="24"/>
          <w:lang w:val="en-GB"/>
        </w:rPr>
        <w:t xml:space="preserve">Castillo </w:t>
      </w:r>
      <w:r w:rsidR="00AF7E98" w:rsidRPr="00AF7E98">
        <w:rPr>
          <w:rFonts w:cs="Times New Roman"/>
          <w:i/>
          <w:noProof/>
          <w:szCs w:val="24"/>
          <w:lang w:val="en-GB"/>
        </w:rPr>
        <w:t>et al.</w:t>
      </w:r>
      <w:r w:rsidR="00AF7E98" w:rsidRPr="00AF7E98">
        <w:rPr>
          <w:rFonts w:cs="Times New Roman"/>
          <w:noProof/>
          <w:szCs w:val="24"/>
          <w:lang w:val="en-GB"/>
        </w:rPr>
        <w:t xml:space="preserve"> </w:t>
      </w:r>
      <w:r w:rsidR="004D34D8">
        <w:rPr>
          <w:rFonts w:cs="Times New Roman"/>
          <w:noProof/>
          <w:szCs w:val="24"/>
          <w:lang w:val="en-GB"/>
        </w:rPr>
        <w:t>(</w:t>
      </w:r>
      <w:r w:rsidR="00AF7E98" w:rsidRPr="00AF7E98">
        <w:rPr>
          <w:rFonts w:cs="Times New Roman"/>
          <w:noProof/>
          <w:szCs w:val="24"/>
          <w:lang w:val="en-GB"/>
        </w:rPr>
        <w:t>2019)</w:t>
      </w:r>
      <w:r w:rsidR="00AF7E98">
        <w:rPr>
          <w:rFonts w:cs="Times New Roman"/>
          <w:szCs w:val="24"/>
          <w:lang w:val="en-GB"/>
        </w:rPr>
        <w:fldChar w:fldCharType="end"/>
      </w:r>
      <w:r w:rsidR="009F690E">
        <w:rPr>
          <w:rFonts w:cs="Times New Roman"/>
          <w:szCs w:val="24"/>
          <w:lang w:val="en-GB"/>
        </w:rPr>
        <w:t>). These studies sought to investigate two main questions: is there a blood microbiome? If there is, what does the microbial profile look like?</w:t>
      </w:r>
      <w:r w:rsidR="00782EC9">
        <w:rPr>
          <w:rFonts w:cs="Times New Roman"/>
          <w:szCs w:val="24"/>
          <w:lang w:val="en-GB"/>
        </w:rPr>
        <w:t xml:space="preserve"> </w:t>
      </w:r>
      <w:r w:rsidR="009F690E">
        <w:rPr>
          <w:rFonts w:cs="Times New Roman"/>
          <w:szCs w:val="24"/>
          <w:lang w:val="en-GB"/>
        </w:rPr>
        <w:t xml:space="preserve">To do so, </w:t>
      </w:r>
      <w:r w:rsidR="0041261F">
        <w:rPr>
          <w:rFonts w:cs="Times New Roman"/>
          <w:szCs w:val="24"/>
          <w:lang w:val="en-GB"/>
        </w:rPr>
        <w:t>most studies have</w:t>
      </w:r>
      <w:r w:rsidR="009F690E">
        <w:rPr>
          <w:rFonts w:cs="Times New Roman"/>
          <w:szCs w:val="24"/>
          <w:lang w:val="en-GB"/>
        </w:rPr>
        <w:t xml:space="preserve"> employed </w:t>
      </w:r>
      <w:r w:rsidR="0041261F">
        <w:rPr>
          <w:rFonts w:cs="Times New Roman"/>
          <w:szCs w:val="24"/>
          <w:lang w:val="en-GB"/>
        </w:rPr>
        <w:t xml:space="preserve">culture-based or </w:t>
      </w:r>
      <w:r w:rsidR="00AF7E98">
        <w:rPr>
          <w:rFonts w:cs="Times New Roman"/>
          <w:szCs w:val="24"/>
          <w:lang w:val="en-GB"/>
        </w:rPr>
        <w:t>sequencing</w:t>
      </w:r>
      <w:r w:rsidR="0041261F">
        <w:rPr>
          <w:rFonts w:cs="Times New Roman"/>
          <w:szCs w:val="24"/>
          <w:lang w:val="en-GB"/>
        </w:rPr>
        <w:t xml:space="preserve"> </w:t>
      </w:r>
      <w:r w:rsidR="00AF7E98">
        <w:rPr>
          <w:rFonts w:cs="Times New Roman"/>
          <w:szCs w:val="24"/>
          <w:lang w:val="en-GB"/>
        </w:rPr>
        <w:t xml:space="preserve">approaches. The former </w:t>
      </w:r>
      <w:r w:rsidR="0041261F">
        <w:rPr>
          <w:rFonts w:cs="Times New Roman"/>
          <w:szCs w:val="24"/>
          <w:lang w:val="en-GB"/>
        </w:rPr>
        <w:t>approach involves the use of</w:t>
      </w:r>
      <w:r w:rsidR="00AF7E98">
        <w:rPr>
          <w:rFonts w:cs="Times New Roman"/>
          <w:szCs w:val="24"/>
          <w:lang w:val="en-GB"/>
        </w:rPr>
        <w:t xml:space="preserve"> </w:t>
      </w:r>
      <w:r w:rsidR="0041261F">
        <w:rPr>
          <w:rFonts w:cs="Times New Roman"/>
          <w:szCs w:val="24"/>
          <w:lang w:val="en-GB"/>
        </w:rPr>
        <w:t xml:space="preserve">microbiological cultures of blood samples; the latter involves either </w:t>
      </w:r>
      <w:r w:rsidR="00AF7E98">
        <w:rPr>
          <w:rFonts w:cs="Times New Roman"/>
          <w:szCs w:val="24"/>
          <w:lang w:val="en-GB"/>
        </w:rPr>
        <w:t>targeted 16S marker-gene, or non-targeted ‘shotgun’ metagenomic sequencing</w:t>
      </w:r>
      <w:r w:rsidR="0041261F">
        <w:rPr>
          <w:rFonts w:cs="Times New Roman"/>
          <w:szCs w:val="24"/>
          <w:lang w:val="en-GB"/>
        </w:rPr>
        <w:t xml:space="preserve"> of microbial DNA extracted from blood</w:t>
      </w:r>
      <w:r w:rsidR="00AF7E98">
        <w:rPr>
          <w:rFonts w:cs="Times New Roman"/>
          <w:szCs w:val="24"/>
          <w:lang w:val="en-GB"/>
        </w:rPr>
        <w:t xml:space="preserve">. </w:t>
      </w:r>
      <w:r w:rsidR="00425991">
        <w:rPr>
          <w:rFonts w:cs="Times New Roman"/>
          <w:szCs w:val="24"/>
          <w:lang w:val="en-GB"/>
        </w:rPr>
        <w:t>Both types of approaches have their advantages and limitations.</w:t>
      </w:r>
      <w:r w:rsidR="00ED2D54">
        <w:rPr>
          <w:rFonts w:cs="Times New Roman"/>
          <w:szCs w:val="24"/>
          <w:lang w:val="en-GB"/>
        </w:rPr>
        <w:t xml:space="preserve"> Culture-based methods demonstrate the viability of detected microorganisms. However, they cannot detect ‘unculturable’ microorganisms and have a notoriously low sensitivity, especially when the bacterial load is low </w:t>
      </w:r>
      <w:r w:rsidR="00ED2D54">
        <w:rPr>
          <w:rFonts w:cs="Times New Roman"/>
          <w:szCs w:val="24"/>
          <w:lang w:val="en-GB"/>
        </w:rPr>
        <w:fldChar w:fldCharType="begin" w:fldLock="1"/>
      </w:r>
      <w:r w:rsidR="00E8562C">
        <w:rPr>
          <w:rFonts w:cs="Times New Roman"/>
          <w:szCs w:val="24"/>
          <w:lang w:val="en-GB"/>
        </w:rPr>
        <w:instrText>ADDIN CSL_CITATION {"citationItems":[{"id":"ITEM-1","itemData":{"ISSN":"0041-1132","author":[{"dropping-particle":"","family":"Benjamin","given":"Richard J","non-dropping-particle":"","parse-names":false,"suffix":""},{"dropping-particle":"","family":"Wagner","given":"Stephen J","non-dropping-particle":"","parse-names":false,"suffix":""}],"container-title":"Transfusion","id":"ITEM-1","issue":"8","issued":{"date-parts":[["2007"]]},"page":"1381-1389","publisher":"Wiley Online Library","title":"The residual risk of sepsis: modeling the effect of concentration on bacterial detection in two‐bottle culture systems and an estimation of false‐negative culture rates","type":"article-journal","volume":"47"},"uris":["http://www.mendeley.com/documents/?uuid=218ad5a4-302d-4776-8423-e030ed3dfe48"]}],"mendeley":{"formattedCitation":"(Benjamin and Wagner, 2007)","plainTextFormattedCitation":"(Benjamin and Wagner, 2007)","previouslyFormattedCitation":"(Benjamin and Wagner, 2007)"},"properties":{"noteIndex":0},"schema":"https://github.com/citation-style-language/schema/raw/master/csl-citation.json"}</w:instrText>
      </w:r>
      <w:r w:rsidR="00ED2D54">
        <w:rPr>
          <w:rFonts w:cs="Times New Roman"/>
          <w:szCs w:val="24"/>
          <w:lang w:val="en-GB"/>
        </w:rPr>
        <w:fldChar w:fldCharType="separate"/>
      </w:r>
      <w:r w:rsidR="00ED2D54" w:rsidRPr="00ED2D54">
        <w:rPr>
          <w:rFonts w:cs="Times New Roman"/>
          <w:noProof/>
          <w:szCs w:val="24"/>
          <w:lang w:val="en-GB"/>
        </w:rPr>
        <w:t>(Benjamin and Wagner, 2007)</w:t>
      </w:r>
      <w:r w:rsidR="00ED2D54">
        <w:rPr>
          <w:rFonts w:cs="Times New Roman"/>
          <w:szCs w:val="24"/>
          <w:lang w:val="en-GB"/>
        </w:rPr>
        <w:fldChar w:fldCharType="end"/>
      </w:r>
      <w:r w:rsidR="00ED2D54">
        <w:rPr>
          <w:rFonts w:cs="Times New Roman"/>
          <w:szCs w:val="24"/>
          <w:lang w:val="en-GB"/>
        </w:rPr>
        <w:t xml:space="preserve">. </w:t>
      </w:r>
      <w:r w:rsidR="0041261F">
        <w:rPr>
          <w:rFonts w:cs="Times New Roman"/>
          <w:szCs w:val="24"/>
          <w:lang w:val="en-GB"/>
        </w:rPr>
        <w:t xml:space="preserve">Additionally, </w:t>
      </w:r>
      <w:r w:rsidR="00955CCC">
        <w:rPr>
          <w:rFonts w:cs="Times New Roman"/>
          <w:szCs w:val="24"/>
          <w:lang w:val="en-GB"/>
        </w:rPr>
        <w:t xml:space="preserve">the microorganisms detected are largely biased by the type of culture medium used. </w:t>
      </w:r>
      <w:r w:rsidR="00ED2D54">
        <w:rPr>
          <w:rFonts w:cs="Times New Roman"/>
          <w:szCs w:val="24"/>
          <w:lang w:val="en-GB"/>
        </w:rPr>
        <w:t xml:space="preserve">This approach therefore prevents a comprehensive characterisation of the breadth of blood microorganisms. </w:t>
      </w:r>
    </w:p>
    <w:p w14:paraId="70C7DB72" w14:textId="7F092181" w:rsidR="00D1385C" w:rsidRDefault="00ED2D54" w:rsidP="00D1385C">
      <w:pPr>
        <w:rPr>
          <w:rFonts w:cs="Times New Roman"/>
          <w:szCs w:val="24"/>
          <w:lang w:val="en-GB"/>
        </w:rPr>
      </w:pPr>
      <w:r>
        <w:rPr>
          <w:rFonts w:cs="Times New Roman"/>
          <w:szCs w:val="24"/>
          <w:lang w:val="en-GB"/>
        </w:rPr>
        <w:t>On the other hand,</w:t>
      </w:r>
      <w:r w:rsidR="005B33AB">
        <w:rPr>
          <w:rFonts w:cs="Times New Roman"/>
          <w:szCs w:val="24"/>
          <w:lang w:val="en-GB"/>
        </w:rPr>
        <w:t xml:space="preserve"> metagenomic sequencing</w:t>
      </w:r>
      <w:r w:rsidR="00425991">
        <w:rPr>
          <w:rFonts w:cs="Times New Roman"/>
          <w:szCs w:val="24"/>
          <w:lang w:val="en-GB"/>
        </w:rPr>
        <w:t xml:space="preserve"> can detect unculturable </w:t>
      </w:r>
      <w:r w:rsidR="005B33AB">
        <w:rPr>
          <w:rFonts w:cs="Times New Roman"/>
          <w:szCs w:val="24"/>
          <w:lang w:val="en-GB"/>
        </w:rPr>
        <w:t xml:space="preserve">or low abundance </w:t>
      </w:r>
      <w:r>
        <w:rPr>
          <w:rFonts w:cs="Times New Roman"/>
          <w:szCs w:val="24"/>
          <w:lang w:val="en-GB"/>
        </w:rPr>
        <w:t>micro</w:t>
      </w:r>
      <w:r w:rsidR="00425991">
        <w:rPr>
          <w:rFonts w:cs="Times New Roman"/>
          <w:szCs w:val="24"/>
          <w:lang w:val="en-GB"/>
        </w:rPr>
        <w:t>organisms</w:t>
      </w:r>
      <w:r w:rsidR="005B33AB">
        <w:rPr>
          <w:rFonts w:cs="Times New Roman"/>
          <w:szCs w:val="24"/>
          <w:lang w:val="en-GB"/>
        </w:rPr>
        <w:t xml:space="preserve">, and is therefore a more sensitive approach for profiling the blood microbiome. The main trade-off for this increased sensitivity is that sequencing is </w:t>
      </w:r>
      <w:r w:rsidR="00425991">
        <w:rPr>
          <w:rFonts w:cs="Times New Roman"/>
          <w:szCs w:val="24"/>
          <w:lang w:val="en-GB"/>
        </w:rPr>
        <w:t xml:space="preserve">highly prone to environmental contamination. </w:t>
      </w:r>
      <w:r w:rsidR="0099602C">
        <w:rPr>
          <w:rFonts w:cs="Times New Roman"/>
          <w:szCs w:val="24"/>
          <w:lang w:val="en-GB"/>
        </w:rPr>
        <w:t>C</w:t>
      </w:r>
      <w:r w:rsidR="00425991">
        <w:rPr>
          <w:rFonts w:cs="Times New Roman"/>
          <w:szCs w:val="24"/>
          <w:lang w:val="en-GB"/>
        </w:rPr>
        <w:t>ontaminant</w:t>
      </w:r>
      <w:r w:rsidR="00425991">
        <w:rPr>
          <w:rFonts w:eastAsia="Times New Roman" w:cs="Times New Roman"/>
          <w:szCs w:val="24"/>
          <w:lang w:val="en-GB"/>
        </w:rPr>
        <w:t xml:space="preserve"> DNA</w:t>
      </w:r>
      <w:r w:rsidR="003D7C0B">
        <w:rPr>
          <w:rFonts w:eastAsia="Times New Roman" w:cs="Times New Roman"/>
          <w:szCs w:val="24"/>
          <w:lang w:val="en-GB"/>
        </w:rPr>
        <w:t xml:space="preserve"> </w:t>
      </w:r>
      <w:r w:rsidR="00425991">
        <w:rPr>
          <w:rFonts w:eastAsia="Times New Roman" w:cs="Times New Roman"/>
          <w:szCs w:val="24"/>
          <w:lang w:val="en-GB"/>
        </w:rPr>
        <w:t>from laboratory reagents, referred to as the ‘kitome’</w:t>
      </w:r>
      <w:r w:rsidR="0099602C">
        <w:rPr>
          <w:rFonts w:eastAsia="Times New Roman" w:cs="Times New Roman"/>
          <w:szCs w:val="24"/>
          <w:lang w:val="en-GB"/>
        </w:rPr>
        <w:t>, can be</w:t>
      </w:r>
      <w:r w:rsidR="003D7C0B">
        <w:rPr>
          <w:rFonts w:eastAsia="Times New Roman" w:cs="Times New Roman"/>
          <w:szCs w:val="24"/>
          <w:lang w:val="en-GB"/>
        </w:rPr>
        <w:t xml:space="preserve"> introduced during sample processing</w:t>
      </w:r>
      <w:r w:rsidR="00425991">
        <w:rPr>
          <w:rFonts w:eastAsia="Times New Roman" w:cs="Times New Roman"/>
          <w:szCs w:val="24"/>
          <w:lang w:val="en-GB"/>
        </w:rPr>
        <w:t xml:space="preserve"> </w:t>
      </w:r>
      <w:r w:rsidR="00425991">
        <w:rPr>
          <w:rFonts w:eastAsia="Times New Roman" w:cs="Times New Roman"/>
          <w:szCs w:val="24"/>
          <w:lang w:val="en-GB"/>
        </w:rPr>
        <w:fldChar w:fldCharType="begin" w:fldLock="1"/>
      </w:r>
      <w:r w:rsidR="00425991">
        <w:rPr>
          <w:rFonts w:eastAsia="Times New Roman" w:cs="Times New Roman"/>
          <w:szCs w:val="24"/>
          <w:lang w:val="en-GB"/>
        </w:rPr>
        <w:instrText>ADDIN CSL_CITATION {"citationItems":[{"id":"ITEM-1","itemData":{"ISSN":"1741-7007","author":[{"dropping-particle":"","family":"Salter","given":"Susannah J","non-dropping-particle":"","parse-names":false,"suffix":""},{"dropping-particle":"","family":"Cox","given":"Michael J","non-dropping-particle":"","parse-names":false,"suffix":""},{"dropping-particle":"","family":"Turek","given":"Elena M","non-dropping-particle":"","parse-names":false,"suffix":""},{"dropping-particle":"","family":"Calus","given":"Szymon T","non-dropping-particle":"","parse-names":false,"suffix":""},{"dropping-particle":"","family":"Cookson","given":"William O","non-dropping-particle":"","parse-names":false,"suffix":""},{"dropping-particle":"","family":"Moffatt","given":"Miriam F","non-dropping-particle":"","parse-names":false,"suffix":""},{"dropping-particle":"","family":"Turner","given":"Paul","non-dropping-particle":"","parse-names":false,"suffix":""},{"dropping-particle":"","family":"Parkhill","given":"Julian","non-dropping-particle":"","parse-names":false,"suffix":""},{"dropping-particle":"","family":"Loman","given":"Nicholas J","non-dropping-particle":"","parse-names":false,"suffix":""},{"dropping-particle":"","family":"Walker","given":"Alan W","non-dropping-particle":"","parse-names":false,"suffix":""}],"container-title":"BMC biology","id":"ITEM-1","issue":"1","issued":{"date-parts":[["2014"]]},"page":"87","publisher":"Springer","title":"Reagent and laboratory contamination can critically impact sequence-based microbiome analyses","type":"article-journal","volume":"12"},"uris":["http://www.mendeley.com/documents/?uuid=334bc940-ca23-40a2-a499-ffeebb28311a"]},{"id":"ITEM-2","itemData":{"ISSN":"1757-4749","author":[{"dropping-particle":"","family":"Glassing","given":"Angela","non-dropping-particle":"","parse-names":false,"suffix":""},{"dropping-particle":"","family":"Dowd","given":"Scot E","non-dropping-particle":"","parse-names":false,"suffix":""},{"dropping-particle":"","family":"Galandiuk","given":"Susan","non-dropping-particle":"","parse-names":false,"suffix":""},{"dropping-particle":"","family":"Davis","given":"Brian","non-dropping-particle":"","parse-names":false,"suffix":""},{"dropping-particle":"","family":"Chiodini","given":"Rodrick J","non-dropping-particle":"","parse-names":false,"suffix":""}],"container-title":"Gut pathogens","id":"ITEM-2","issue":"1","issued":{"date-parts":[["2016"]]},"page":"24","publisher":"Springer","title":"Inherent bacterial DNA contamination of extraction and sequencing reagents may affect interpretation of microbiota in low bacterial biomass samples","type":"article-journal","volume":"8"},"uris":["http://www.mendeley.com/documents/?uuid=a9850e0b-651c-4480-9070-090966080d9d"]},{"id":"ITEM-3","itemData":{"ISSN":"1474-760X","author":[{"dropping-particle":"","family":"Weiss","given":"Sophie","non-dropping-particle":"","parse-names":false,"suffix":""},{"dropping-particle":"","family":"Amir","given":"Amnon","non-dropping-particle":"","parse-names":false,"suffix":""},{"dropping-particle":"","family":"Hyde","given":"Embriette R","non-dropping-particle":"","parse-names":false,"suffix":""},{"dropping-particle":"","family":"Metcalf","given":"Jessica L","non-dropping-particle":"","parse-names":false,"suffix":""},{"dropping-particle":"","family":"Song","given":"Se Jin","non-dropping-particle":"","parse-names":false,"suffix":""},{"dropping-particle":"","family":"Knight","given":"Rob","non-dropping-particle":"","parse-names":false,"suffix":""}],"container-title":"Genome biology","id":"ITEM-3","issue":"12","issued":{"date-parts":[["2014"]]},"page":"564","publisher":"BioMed Central","title":"Tracking down the sources of experimental contamination in microbiome studies","type":"article-journal","volume":"15"},"uris":["http://www.mendeley.com/documents/?uuid=6b4fac83-e30c-49ee-96b4-ae87ffe2b9b2"]}],"mendeley":{"formattedCitation":"(Salter &lt;i&gt;et al.&lt;/i&gt;, 2014; Weiss &lt;i&gt;et al.&lt;/i&gt;, 2014; Glassing &lt;i&gt;et al.&lt;/i&gt;, 2016)","plainTextFormattedCitation":"(Salter et al., 2014; Weiss et al., 2014; Glassing et al., 2016)","previouslyFormattedCitation":"(Salter &lt;i&gt;et al.&lt;/i&gt;, 2014; Weiss &lt;i&gt;et al.&lt;/i&gt;, 2014; Glassing &lt;i&gt;et al.&lt;/i&gt;, 2016)"},"properties":{"noteIndex":0},"schema":"https://github.com/citation-style-language/schema/raw/master/csl-citation.json"}</w:instrText>
      </w:r>
      <w:r w:rsidR="00425991">
        <w:rPr>
          <w:rFonts w:eastAsia="Times New Roman" w:cs="Times New Roman"/>
          <w:szCs w:val="24"/>
          <w:lang w:val="en-GB"/>
        </w:rPr>
        <w:fldChar w:fldCharType="separate"/>
      </w:r>
      <w:r w:rsidR="00425991" w:rsidRPr="006E7F3F">
        <w:rPr>
          <w:rFonts w:eastAsia="Times New Roman" w:cs="Times New Roman"/>
          <w:noProof/>
          <w:szCs w:val="24"/>
          <w:lang w:val="en-GB"/>
        </w:rPr>
        <w:t xml:space="preserve">(Salter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xml:space="preserve">, 2014; Weiss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xml:space="preserve">, 2014; Glassing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2016)</w:t>
      </w:r>
      <w:r w:rsidR="00425991">
        <w:rPr>
          <w:rFonts w:eastAsia="Times New Roman" w:cs="Times New Roman"/>
          <w:szCs w:val="24"/>
          <w:lang w:val="en-GB"/>
        </w:rPr>
        <w:fldChar w:fldCharType="end"/>
      </w:r>
      <w:r w:rsidR="00425991">
        <w:rPr>
          <w:rFonts w:eastAsia="Times New Roman" w:cs="Times New Roman"/>
          <w:szCs w:val="24"/>
          <w:lang w:val="en-GB"/>
        </w:rPr>
        <w:t>.</w:t>
      </w:r>
      <w:r w:rsidR="003D7C0B">
        <w:rPr>
          <w:rFonts w:eastAsia="Times New Roman" w:cs="Times New Roman"/>
          <w:szCs w:val="24"/>
          <w:lang w:val="en-GB"/>
        </w:rPr>
        <w:t xml:space="preserve"> Alternatively, contaminant DNA may be introduced </w:t>
      </w:r>
      <w:r w:rsidR="00860D9C">
        <w:rPr>
          <w:rFonts w:eastAsia="Times New Roman" w:cs="Times New Roman"/>
          <w:szCs w:val="24"/>
          <w:lang w:val="en-GB"/>
        </w:rPr>
        <w:t>when using</w:t>
      </w:r>
      <w:r w:rsidR="003D7C0B">
        <w:rPr>
          <w:rFonts w:eastAsia="Times New Roman" w:cs="Times New Roman"/>
          <w:szCs w:val="24"/>
          <w:lang w:val="en-GB"/>
        </w:rPr>
        <w:t xml:space="preserve"> non-sterile equipment or </w:t>
      </w:r>
      <w:r w:rsidR="00860D9C">
        <w:rPr>
          <w:rFonts w:eastAsia="Times New Roman" w:cs="Times New Roman"/>
          <w:szCs w:val="24"/>
          <w:lang w:val="en-GB"/>
        </w:rPr>
        <w:t xml:space="preserve">poor </w:t>
      </w:r>
      <w:r w:rsidR="003D7C0B">
        <w:rPr>
          <w:rFonts w:eastAsia="Times New Roman" w:cs="Times New Roman"/>
          <w:szCs w:val="24"/>
          <w:lang w:val="en-GB"/>
        </w:rPr>
        <w:t>aseptic technique during sample collection.</w:t>
      </w:r>
      <w:r w:rsidR="0099602C">
        <w:rPr>
          <w:rFonts w:eastAsia="Times New Roman" w:cs="Times New Roman"/>
          <w:szCs w:val="24"/>
          <w:lang w:val="en-GB"/>
        </w:rPr>
        <w:t xml:space="preserve"> These contaminating sequences are known to skew biological inference</w:t>
      </w:r>
      <w:r w:rsidR="00F951C1">
        <w:rPr>
          <w:rFonts w:eastAsia="Times New Roman" w:cs="Times New Roman"/>
          <w:szCs w:val="24"/>
          <w:lang w:val="en-GB"/>
        </w:rPr>
        <w:t>s</w:t>
      </w:r>
      <w:r w:rsidR="0099602C">
        <w:rPr>
          <w:rFonts w:eastAsia="Times New Roman" w:cs="Times New Roman"/>
          <w:szCs w:val="24"/>
          <w:lang w:val="en-GB"/>
        </w:rPr>
        <w:t xml:space="preserve"> of metagenomic sequencing data, particularly for sample types with low microbial biomass such as blood </w:t>
      </w:r>
      <w:r w:rsidR="0099602C">
        <w:rPr>
          <w:rFonts w:eastAsia="Times New Roman" w:cs="Times New Roman"/>
          <w:szCs w:val="24"/>
          <w:lang w:val="en-GB"/>
        </w:rPr>
        <w:fldChar w:fldCharType="begin" w:fldLock="1"/>
      </w:r>
      <w:r w:rsidR="002B79B3">
        <w:rPr>
          <w:rFonts w:eastAsia="Times New Roman" w:cs="Times New Roman"/>
          <w:szCs w:val="24"/>
          <w:lang w:val="en-GB"/>
        </w:rPr>
        <w:instrText>ADDIN CSL_CITATION {"citationItems":[{"id":"ITEM-1","itemData":{"DOI":"https://doi.org/10.1016/j.tim.2018.11.003","ISSN":"0966-842X","abstract":"Next-generation sequencing approaches in microbiome research have allowed surveys of microbial communities, their genomes, and their functions with higher sensitivity than ever before. However, this sensitivity is a double-edged sword because these tools also efficiently detect contaminant DNA and cross-contamination, which can confound the interpretation of microbiome data. Therefore, there is an urgent need to integrate key controls into microbiome research to improve the integrity of microbiome studies. Here, we review how contaminant DNA and cross-contamination arise within microbiome studies and discuss their negative impacts, especially during the analysis of low microbial biomass samples. We then identify several key measures that researchers can implement to reduce the impact of contaminant DNA and cross-contamination during microbiome research. We put forward a set of minimal experimental criteria, the ‘RIDE’ checklist, to improve the validity of future low microbial biomass research.","author":[{"dropping-particle":"","family":"Eisenhofer","given":"Raphael","non-dropping-particle":"","parse-names":false,"suffix":""},{"dropping-particle":"","family":"Minich","given":"Jeremiah J","non-dropping-particle":"","parse-names":false,"suffix":""},{"dropping-particle":"","family":"Marotz","given":"Clarisse","non-dropping-particle":"","parse-names":false,"suffix":""},{"dropping-particle":"","family":"Cooper","given":"Alan","non-dropping-particle":"","parse-names":false,"suffix":""},{"dropping-particle":"","family":"Knight","given":"Rob","non-dropping-particle":"","parse-names":false,"suffix":""},{"dropping-particle":"","family":"Weyrich","given":"Laura S","non-dropping-particle":"","parse-names":false,"suffix":""}],"container-title":"Trends in Microbiology","id":"ITEM-1","issue":"2","issued":{"date-parts":[["2019"]]},"page":"105-117","title":"Contamination in Low Microbial Biomass Microbiome Studies: Issues and Recommendations","type":"article-journal","volume":"27"},"uris":["http://www.mendeley.com/documents/?uuid=a5a7fa1f-471f-4f3e-94cf-a9c283d0c732"]}],"mendeley":{"formattedCitation":"(Eisenhofer &lt;i&gt;et al.&lt;/i&gt;, 2019)","plainTextFormattedCitation":"(Eisenhofer et al., 2019)","previouslyFormattedCitation":"(Eisenhofer &lt;i&gt;et al.&lt;/i&gt;, 2019)"},"properties":{"noteIndex":0},"schema":"https://github.com/citation-style-language/schema/raw/master/csl-citation.json"}</w:instrText>
      </w:r>
      <w:r w:rsidR="0099602C">
        <w:rPr>
          <w:rFonts w:eastAsia="Times New Roman" w:cs="Times New Roman"/>
          <w:szCs w:val="24"/>
          <w:lang w:val="en-GB"/>
        </w:rPr>
        <w:fldChar w:fldCharType="separate"/>
      </w:r>
      <w:r w:rsidR="0099602C" w:rsidRPr="0099602C">
        <w:rPr>
          <w:rFonts w:eastAsia="Times New Roman" w:cs="Times New Roman"/>
          <w:noProof/>
          <w:szCs w:val="24"/>
          <w:lang w:val="en-GB"/>
        </w:rPr>
        <w:t xml:space="preserve">(Eisenhofer </w:t>
      </w:r>
      <w:r w:rsidR="0099602C" w:rsidRPr="0099602C">
        <w:rPr>
          <w:rFonts w:eastAsia="Times New Roman" w:cs="Times New Roman"/>
          <w:i/>
          <w:noProof/>
          <w:szCs w:val="24"/>
          <w:lang w:val="en-GB"/>
        </w:rPr>
        <w:t>et al.</w:t>
      </w:r>
      <w:r w:rsidR="0099602C" w:rsidRPr="0099602C">
        <w:rPr>
          <w:rFonts w:eastAsia="Times New Roman" w:cs="Times New Roman"/>
          <w:noProof/>
          <w:szCs w:val="24"/>
          <w:lang w:val="en-GB"/>
        </w:rPr>
        <w:t>, 2019)</w:t>
      </w:r>
      <w:r w:rsidR="0099602C">
        <w:rPr>
          <w:rFonts w:eastAsia="Times New Roman" w:cs="Times New Roman"/>
          <w:szCs w:val="24"/>
          <w:lang w:val="en-GB"/>
        </w:rPr>
        <w:fldChar w:fldCharType="end"/>
      </w:r>
      <w:r w:rsidR="0099602C">
        <w:rPr>
          <w:rFonts w:eastAsia="Times New Roman" w:cs="Times New Roman"/>
          <w:szCs w:val="24"/>
          <w:lang w:val="en-GB"/>
        </w:rPr>
        <w:t>.</w:t>
      </w:r>
      <w:r w:rsidR="003D7C0B">
        <w:rPr>
          <w:rFonts w:eastAsia="Times New Roman" w:cs="Times New Roman"/>
          <w:szCs w:val="24"/>
          <w:lang w:val="en-GB"/>
        </w:rPr>
        <w:t xml:space="preserve"> </w:t>
      </w:r>
      <w:r w:rsidR="00386328">
        <w:rPr>
          <w:rFonts w:eastAsia="Times New Roman" w:cs="Times New Roman"/>
          <w:szCs w:val="24"/>
          <w:lang w:val="en-GB"/>
        </w:rPr>
        <w:t>Delineating c</w:t>
      </w:r>
      <w:r w:rsidR="00282A30">
        <w:rPr>
          <w:rFonts w:eastAsia="Times New Roman" w:cs="Times New Roman"/>
          <w:szCs w:val="24"/>
          <w:lang w:val="en-GB"/>
        </w:rPr>
        <w:t>ontaminant DNA sequences from tho</w:t>
      </w:r>
      <w:r w:rsidR="00D1385C">
        <w:rPr>
          <w:rFonts w:cs="Times New Roman"/>
          <w:szCs w:val="24"/>
          <w:lang w:val="en-GB"/>
        </w:rPr>
        <w:t>s</w:t>
      </w:r>
      <w:r w:rsidR="00282A30">
        <w:rPr>
          <w:rFonts w:cs="Times New Roman"/>
          <w:szCs w:val="24"/>
          <w:lang w:val="en-GB"/>
        </w:rPr>
        <w:t xml:space="preserve">e endogenous to blood is </w:t>
      </w:r>
      <w:r w:rsidR="00386328">
        <w:rPr>
          <w:rFonts w:cs="Times New Roman"/>
          <w:szCs w:val="24"/>
          <w:lang w:val="en-GB"/>
        </w:rPr>
        <w:t xml:space="preserve">therefore </w:t>
      </w:r>
      <w:r w:rsidR="00282A30">
        <w:rPr>
          <w:rFonts w:cs="Times New Roman"/>
          <w:szCs w:val="24"/>
          <w:lang w:val="en-GB"/>
        </w:rPr>
        <w:t>crucial in lending weight to arguments for a blood microbiome</w:t>
      </w:r>
      <w:r w:rsidR="00425991">
        <w:rPr>
          <w:rFonts w:cs="Times New Roman"/>
          <w:szCs w:val="24"/>
          <w:lang w:val="en-GB"/>
        </w:rPr>
        <w:t>.</w:t>
      </w:r>
      <w:r w:rsidR="00542DE6">
        <w:rPr>
          <w:rFonts w:cs="Times New Roman"/>
          <w:szCs w:val="24"/>
          <w:lang w:val="en-GB"/>
        </w:rPr>
        <w:t xml:space="preserve"> </w:t>
      </w:r>
      <w:r w:rsidR="00282A30">
        <w:rPr>
          <w:rFonts w:cs="Times New Roman"/>
          <w:szCs w:val="24"/>
          <w:lang w:val="en-GB"/>
        </w:rPr>
        <w:t>However, a</w:t>
      </w:r>
      <w:r w:rsidR="00D1385C">
        <w:rPr>
          <w:rFonts w:cs="Times New Roman"/>
          <w:szCs w:val="24"/>
          <w:lang w:val="en-GB"/>
        </w:rPr>
        <w:t xml:space="preserve">s </w:t>
      </w:r>
      <w:r w:rsidR="00D1385C">
        <w:rPr>
          <w:rFonts w:cs="Times New Roman"/>
          <w:szCs w:val="24"/>
          <w:lang w:val="en-GB"/>
        </w:rPr>
        <w:fldChar w:fldCharType="begin" w:fldLock="1"/>
      </w:r>
      <w:r w:rsidR="0041261F">
        <w:rPr>
          <w:rFonts w:cs="Times New Roman"/>
          <w:szCs w:val="24"/>
          <w:lang w:val="en-GB"/>
        </w:rPr>
        <w:instrText>ADDIN CSL_CITATION {"citationItems":[{"id":"ITEM-1","itemData":{"ISSN":"2235-2988","author":[{"dropping-particle":"","family":"Castillo","given":"Diego José","non-dropping-particle":"","parse-names":false,"suffix":""},{"dropping-particle":"","family":"Rifkin","given":"Riaan Francios","non-dropping-particle":"","parse-names":false,"suffix":""},{"dropping-particle":"","family":"Cowan","given":"Don A","non-dropping-particle":"","parse-names":false,"suffix":""},{"dropping-particle":"","family":"Potgieter","given":"Marnie","non-dropping-particle":"","parse-names":false,"suffix":""}],"container-title":"Frontiers in cellular and infection microbiology","id":"ITEM-1","issued":{"date-parts":[["2019"]]},"page":"148","publisher":"Frontiers","title":"The healthy human blood microbiome: Fact or fiction?","type":"article-journal","volume":"9"},"uris":["http://www.mendeley.com/documents/?uuid=d344033d-5271-4633-9133-119a758ce730"]}],"mendeley":{"formattedCitation":"(Castillo &lt;i&gt;et al.&lt;/i&gt;, 2019)","manualFormatting":"Castillo et al. (2019)","plainTextFormattedCitation":"(Castillo et al., 2019)","previouslyFormattedCitation":"(Castillo &lt;i&gt;et al.&lt;/i&gt;, 2019)"},"properties":{"noteIndex":0},"schema":"https://github.com/citation-style-language/schema/raw/master/csl-citation.json"}</w:instrText>
      </w:r>
      <w:r w:rsidR="00D1385C">
        <w:rPr>
          <w:rFonts w:cs="Times New Roman"/>
          <w:szCs w:val="24"/>
          <w:lang w:val="en-GB"/>
        </w:rPr>
        <w:fldChar w:fldCharType="separate"/>
      </w:r>
      <w:r w:rsidR="00D1385C" w:rsidRPr="00E8562C">
        <w:rPr>
          <w:rFonts w:cs="Times New Roman"/>
          <w:noProof/>
          <w:szCs w:val="24"/>
          <w:lang w:val="en-GB"/>
        </w:rPr>
        <w:t xml:space="preserve">Castillo </w:t>
      </w:r>
      <w:r w:rsidR="00D1385C" w:rsidRPr="00E8562C">
        <w:rPr>
          <w:rFonts w:cs="Times New Roman"/>
          <w:i/>
          <w:noProof/>
          <w:szCs w:val="24"/>
          <w:lang w:val="en-GB"/>
        </w:rPr>
        <w:t>et al.</w:t>
      </w:r>
      <w:r w:rsidR="00D1385C" w:rsidRPr="00E8562C">
        <w:rPr>
          <w:rFonts w:cs="Times New Roman"/>
          <w:noProof/>
          <w:szCs w:val="24"/>
          <w:lang w:val="en-GB"/>
        </w:rPr>
        <w:t xml:space="preserve"> </w:t>
      </w:r>
      <w:r w:rsidR="00D1385C">
        <w:rPr>
          <w:rFonts w:cs="Times New Roman"/>
          <w:noProof/>
          <w:szCs w:val="24"/>
          <w:lang w:val="en-GB"/>
        </w:rPr>
        <w:t>(</w:t>
      </w:r>
      <w:r w:rsidR="00D1385C" w:rsidRPr="00E8562C">
        <w:rPr>
          <w:rFonts w:cs="Times New Roman"/>
          <w:noProof/>
          <w:szCs w:val="24"/>
          <w:lang w:val="en-GB"/>
        </w:rPr>
        <w:t>2019)</w:t>
      </w:r>
      <w:r w:rsidR="00D1385C">
        <w:rPr>
          <w:rFonts w:cs="Times New Roman"/>
          <w:szCs w:val="24"/>
          <w:lang w:val="en-GB"/>
        </w:rPr>
        <w:fldChar w:fldCharType="end"/>
      </w:r>
      <w:r w:rsidR="00D1385C">
        <w:rPr>
          <w:rFonts w:cs="Times New Roman"/>
          <w:szCs w:val="24"/>
          <w:lang w:val="en-GB"/>
        </w:rPr>
        <w:t xml:space="preserve"> noted, </w:t>
      </w:r>
      <w:r w:rsidR="00282A30">
        <w:rPr>
          <w:rFonts w:cs="Times New Roman"/>
          <w:szCs w:val="24"/>
          <w:lang w:val="en-GB"/>
        </w:rPr>
        <w:t xml:space="preserve">experimental controls </w:t>
      </w:r>
      <w:r w:rsidR="00EE177B">
        <w:rPr>
          <w:rFonts w:cs="Times New Roman"/>
          <w:szCs w:val="24"/>
          <w:lang w:val="en-GB"/>
        </w:rPr>
        <w:t xml:space="preserve">for addressing the contamination problem are often </w:t>
      </w:r>
      <w:r w:rsidR="00F951C1">
        <w:rPr>
          <w:rFonts w:cs="Times New Roman"/>
          <w:szCs w:val="24"/>
          <w:lang w:val="en-GB"/>
        </w:rPr>
        <w:t>omitted in blood microbiome studies. Even when controls are included,</w:t>
      </w:r>
      <w:r w:rsidR="002B79B3">
        <w:rPr>
          <w:rFonts w:cs="Times New Roman"/>
          <w:szCs w:val="24"/>
          <w:lang w:val="en-GB"/>
        </w:rPr>
        <w:t xml:space="preserve"> they are often only used for quantifying the overall level of contamination introduced by </w:t>
      </w:r>
      <w:r w:rsidR="002B79B3">
        <w:rPr>
          <w:rFonts w:cs="Times New Roman"/>
          <w:szCs w:val="24"/>
          <w:lang w:val="en-GB"/>
        </w:rPr>
        <w:lastRenderedPageBreak/>
        <w:t xml:space="preserve">the </w:t>
      </w:r>
      <w:r w:rsidR="00B232DD">
        <w:rPr>
          <w:rFonts w:cs="Times New Roman"/>
          <w:szCs w:val="24"/>
          <w:lang w:val="en-GB"/>
        </w:rPr>
        <w:t xml:space="preserve">experimental </w:t>
      </w:r>
      <w:r w:rsidR="002B79B3">
        <w:rPr>
          <w:rFonts w:cs="Times New Roman"/>
          <w:szCs w:val="24"/>
          <w:lang w:val="en-GB"/>
        </w:rPr>
        <w:t xml:space="preserve">protocols used </w:t>
      </w:r>
      <w:r w:rsidR="002B79B3">
        <w:rPr>
          <w:rFonts w:cs="Times New Roman"/>
          <w:szCs w:val="24"/>
          <w:lang w:val="en-GB"/>
        </w:rPr>
        <w:fldChar w:fldCharType="begin" w:fldLock="1"/>
      </w:r>
      <w:r w:rsidR="006C02B7">
        <w:rPr>
          <w:rFonts w:cs="Times New Roman"/>
          <w:szCs w:val="24"/>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id":"ITEM-2","itemData":{"ISSN":"0041-1132","author":[{"dropping-particle":"","family":"Païssé","given":"Sandrine","non-dropping-particle":"","parse-names":false,"suffix":""},{"dropping-particle":"","family":"Valle","given":"Carine","non-dropping-particle":"","parse-names":false,"suffix":""},{"dropping-particle":"","family":"Servant","given":"Florence","non-dropping-particle":"","parse-names":false,"suffix":""},{"dropping-particle":"","family":"Courtney","given":"Michael","non-dropping-particle":"","parse-names":false,"suffix":""},{"dropping-particle":"","family":"Burcelin","given":"Rémy","non-dropping-particle":"","parse-names":false,"suffix":""},{"dropping-particle":"","family":"Amar","given":"Jacques","non-dropping-particle":"","parse-names":false,"suffix":""},{"dropping-particle":"","family":"Lelouvier","given":"Benjamin","non-dropping-particle":"","parse-names":false,"suffix":""}],"container-title":"Transfusion","id":"ITEM-2","issue":"5","issued":{"date-parts":[["2016"]]},"page":"1138-1147","publisher":"Wiley Online Library","title":"Comprehensive description of blood microbiome from healthy donors assessed by 16 S targeted metagenomic sequencing","type":"article-journal","volume":"56"},"uris":["http://www.mendeley.com/documents/?uuid=82c4f30f-a311-44c4-b5fd-70081805891a"]}],"mendeley":{"formattedCitation":"(Païssé &lt;i&gt;et al.&lt;/i&gt;, 2016; Gosiewski &lt;i&gt;et al.&lt;/i&gt;, 2017)","plainTextFormattedCitation":"(Païssé et al., 2016; Gosiewski et al., 2017)","previouslyFormattedCitation":"(Païssé &lt;i&gt;et al.&lt;/i&gt;, 2016; Gosiewski &lt;i&gt;et al.&lt;/i&gt;, 2017)"},"properties":{"noteIndex":0},"schema":"https://github.com/citation-style-language/schema/raw/master/csl-citation.json"}</w:instrText>
      </w:r>
      <w:r w:rsidR="002B79B3">
        <w:rPr>
          <w:rFonts w:cs="Times New Roman"/>
          <w:szCs w:val="24"/>
          <w:lang w:val="en-GB"/>
        </w:rPr>
        <w:fldChar w:fldCharType="separate"/>
      </w:r>
      <w:r w:rsidR="002B79B3" w:rsidRPr="002B79B3">
        <w:rPr>
          <w:rFonts w:cs="Times New Roman"/>
          <w:noProof/>
          <w:szCs w:val="24"/>
          <w:lang w:val="en-GB"/>
        </w:rPr>
        <w:t xml:space="preserve">(Païssé </w:t>
      </w:r>
      <w:r w:rsidR="002B79B3" w:rsidRPr="002B79B3">
        <w:rPr>
          <w:rFonts w:cs="Times New Roman"/>
          <w:i/>
          <w:noProof/>
          <w:szCs w:val="24"/>
          <w:lang w:val="en-GB"/>
        </w:rPr>
        <w:t>et al.</w:t>
      </w:r>
      <w:r w:rsidR="002B79B3" w:rsidRPr="002B79B3">
        <w:rPr>
          <w:rFonts w:cs="Times New Roman"/>
          <w:noProof/>
          <w:szCs w:val="24"/>
          <w:lang w:val="en-GB"/>
        </w:rPr>
        <w:t xml:space="preserve">, 2016; Gosiewski </w:t>
      </w:r>
      <w:r w:rsidR="002B79B3" w:rsidRPr="002B79B3">
        <w:rPr>
          <w:rFonts w:cs="Times New Roman"/>
          <w:i/>
          <w:noProof/>
          <w:szCs w:val="24"/>
          <w:lang w:val="en-GB"/>
        </w:rPr>
        <w:t>et al.</w:t>
      </w:r>
      <w:r w:rsidR="002B79B3" w:rsidRPr="002B79B3">
        <w:rPr>
          <w:rFonts w:cs="Times New Roman"/>
          <w:noProof/>
          <w:szCs w:val="24"/>
          <w:lang w:val="en-GB"/>
        </w:rPr>
        <w:t>, 2017)</w:t>
      </w:r>
      <w:r w:rsidR="002B79B3">
        <w:rPr>
          <w:rFonts w:cs="Times New Roman"/>
          <w:szCs w:val="24"/>
          <w:lang w:val="en-GB"/>
        </w:rPr>
        <w:fldChar w:fldCharType="end"/>
      </w:r>
      <w:r w:rsidR="002B79B3">
        <w:rPr>
          <w:rFonts w:cs="Times New Roman"/>
          <w:szCs w:val="24"/>
          <w:lang w:val="en-GB"/>
        </w:rPr>
        <w:t>.</w:t>
      </w:r>
      <w:r w:rsidR="009A6D27">
        <w:rPr>
          <w:rFonts w:cs="Times New Roman"/>
          <w:szCs w:val="24"/>
          <w:lang w:val="en-GB"/>
        </w:rPr>
        <w:t xml:space="preserve"> </w:t>
      </w:r>
      <w:r w:rsidR="00595D08">
        <w:rPr>
          <w:rFonts w:cs="Times New Roman"/>
          <w:szCs w:val="24"/>
          <w:lang w:val="en-GB"/>
        </w:rPr>
        <w:t>S</w:t>
      </w:r>
      <w:r w:rsidR="00386328">
        <w:rPr>
          <w:rFonts w:cs="Times New Roman"/>
          <w:szCs w:val="24"/>
          <w:lang w:val="en-GB"/>
        </w:rPr>
        <w:t xml:space="preserve">uch controls should ideally be used to identify </w:t>
      </w:r>
      <w:r w:rsidR="00595D08">
        <w:rPr>
          <w:rFonts w:cs="Times New Roman"/>
          <w:szCs w:val="24"/>
          <w:lang w:val="en-GB"/>
        </w:rPr>
        <w:t xml:space="preserve">and remove putative contaminant taxa before making any biological inference of the microbial profiles observed.  </w:t>
      </w:r>
    </w:p>
    <w:p w14:paraId="4403C4F9" w14:textId="0D47A4AB" w:rsidR="00BC2AC9" w:rsidRPr="00E066B1" w:rsidRDefault="002B6E55" w:rsidP="00A166AF">
      <w:pPr>
        <w:rPr>
          <w:rFonts w:cs="Times New Roman"/>
          <w:szCs w:val="24"/>
          <w:lang w:val="en-GB"/>
        </w:rPr>
      </w:pPr>
      <w:r>
        <w:rPr>
          <w:rFonts w:cs="Times New Roman"/>
          <w:szCs w:val="24"/>
          <w:lang w:val="en-GB"/>
        </w:rPr>
        <w:t>In this study</w:t>
      </w:r>
      <w:r w:rsidR="00485EC6">
        <w:rPr>
          <w:rFonts w:cs="Times New Roman"/>
          <w:szCs w:val="24"/>
          <w:lang w:val="en-GB"/>
        </w:rPr>
        <w:t>,</w:t>
      </w:r>
      <w:r w:rsidR="00735BEA">
        <w:rPr>
          <w:rFonts w:cs="Times New Roman"/>
          <w:szCs w:val="24"/>
          <w:lang w:val="en-GB"/>
        </w:rPr>
        <w:t xml:space="preserve"> </w:t>
      </w:r>
      <w:r w:rsidR="00485EC6">
        <w:rPr>
          <w:rFonts w:cs="Times New Roman"/>
          <w:szCs w:val="24"/>
          <w:lang w:val="en-GB"/>
        </w:rPr>
        <w:t>16S marker-gene metagenomic sequencing (henceforth ‘16S sequencing’)</w:t>
      </w:r>
      <w:r w:rsidR="00735BEA">
        <w:rPr>
          <w:rFonts w:cs="Times New Roman"/>
          <w:szCs w:val="24"/>
          <w:lang w:val="en-GB"/>
        </w:rPr>
        <w:t xml:space="preserve"> was performed on microbial DNA extracted from the</w:t>
      </w:r>
      <w:r w:rsidR="00485EC6">
        <w:rPr>
          <w:rFonts w:cs="Times New Roman"/>
          <w:szCs w:val="24"/>
          <w:lang w:val="en-GB"/>
        </w:rPr>
        <w:t xml:space="preserve"> </w:t>
      </w:r>
      <w:r w:rsidR="00735BEA">
        <w:rPr>
          <w:rFonts w:cs="Times New Roman"/>
          <w:szCs w:val="24"/>
          <w:lang w:val="en-GB"/>
        </w:rPr>
        <w:t xml:space="preserve">blood of 23 clinically healthy individuals </w:t>
      </w:r>
      <w:r w:rsidR="00485EC6">
        <w:rPr>
          <w:rFonts w:cs="Times New Roman"/>
          <w:szCs w:val="24"/>
          <w:lang w:val="en-GB"/>
        </w:rPr>
        <w:t>t</w:t>
      </w:r>
      <w:r>
        <w:rPr>
          <w:rFonts w:cs="Times New Roman"/>
          <w:szCs w:val="24"/>
          <w:lang w:val="en-GB"/>
        </w:rPr>
        <w:t xml:space="preserve">o </w:t>
      </w:r>
      <w:r w:rsidR="00485EC6">
        <w:rPr>
          <w:rFonts w:cs="Times New Roman"/>
          <w:szCs w:val="24"/>
          <w:lang w:val="en-GB"/>
        </w:rPr>
        <w:t xml:space="preserve">characterise the hypothetical </w:t>
      </w:r>
      <w:r w:rsidR="00C217C3">
        <w:rPr>
          <w:rFonts w:cs="Times New Roman"/>
          <w:szCs w:val="24"/>
          <w:lang w:val="en-GB"/>
        </w:rPr>
        <w:t xml:space="preserve">human </w:t>
      </w:r>
      <w:r w:rsidR="00485EC6">
        <w:rPr>
          <w:rFonts w:cs="Times New Roman"/>
          <w:szCs w:val="24"/>
          <w:lang w:val="en-GB"/>
        </w:rPr>
        <w:t xml:space="preserve">blood </w:t>
      </w:r>
      <w:r w:rsidR="00C217C3">
        <w:rPr>
          <w:rFonts w:cs="Times New Roman"/>
          <w:szCs w:val="24"/>
          <w:lang w:val="en-GB"/>
        </w:rPr>
        <w:t>microbiome.</w:t>
      </w:r>
      <w:r w:rsidR="002F1C34">
        <w:rPr>
          <w:rFonts w:cs="Times New Roman"/>
          <w:szCs w:val="24"/>
          <w:lang w:val="en-GB"/>
        </w:rPr>
        <w:t xml:space="preserve"> </w:t>
      </w:r>
      <w:r w:rsidR="00485EC6">
        <w:rPr>
          <w:rFonts w:cs="Times New Roman"/>
          <w:szCs w:val="24"/>
          <w:lang w:val="en-GB"/>
        </w:rPr>
        <w:t xml:space="preserve">To </w:t>
      </w:r>
      <w:r w:rsidR="00735BEA">
        <w:rPr>
          <w:rFonts w:cs="Times New Roman"/>
          <w:szCs w:val="24"/>
          <w:lang w:val="en-GB"/>
        </w:rPr>
        <w:t>address</w:t>
      </w:r>
      <w:r w:rsidR="00485EC6">
        <w:rPr>
          <w:rFonts w:cs="Times New Roman"/>
          <w:szCs w:val="24"/>
          <w:lang w:val="en-GB"/>
        </w:rPr>
        <w:t xml:space="preserve"> the problem of contamination, </w:t>
      </w:r>
      <w:r w:rsidR="00735BEA">
        <w:rPr>
          <w:rFonts w:cs="Times New Roman"/>
          <w:szCs w:val="24"/>
          <w:lang w:val="en-GB"/>
        </w:rPr>
        <w:t>five negative controls were also sequenced</w:t>
      </w:r>
      <w:r w:rsidR="00405C71">
        <w:rPr>
          <w:rFonts w:cs="Times New Roman"/>
          <w:szCs w:val="24"/>
          <w:lang w:val="en-GB"/>
        </w:rPr>
        <w:t xml:space="preserve"> in the same sequencing run</w:t>
      </w:r>
      <w:r w:rsidR="00735BEA">
        <w:rPr>
          <w:rFonts w:cs="Times New Roman"/>
          <w:szCs w:val="24"/>
          <w:lang w:val="en-GB"/>
        </w:rPr>
        <w:t xml:space="preserve">, and </w:t>
      </w:r>
      <w:r w:rsidR="00485EC6">
        <w:rPr>
          <w:rFonts w:cs="Times New Roman"/>
          <w:szCs w:val="24"/>
          <w:lang w:val="en-GB"/>
        </w:rPr>
        <w:t>the</w:t>
      </w:r>
      <w:r w:rsidR="00735BEA">
        <w:rPr>
          <w:rFonts w:cs="Times New Roman"/>
          <w:szCs w:val="24"/>
          <w:lang w:val="en-GB"/>
        </w:rPr>
        <w:t>ir</w:t>
      </w:r>
      <w:r w:rsidR="00485EC6">
        <w:rPr>
          <w:rFonts w:cs="Times New Roman"/>
          <w:szCs w:val="24"/>
          <w:lang w:val="en-GB"/>
        </w:rPr>
        <w:t xml:space="preserve"> taxonomic profiles compared</w:t>
      </w:r>
      <w:r w:rsidR="0054185E">
        <w:rPr>
          <w:rFonts w:cs="Times New Roman"/>
          <w:szCs w:val="24"/>
          <w:lang w:val="en-GB"/>
        </w:rPr>
        <w:t xml:space="preserve"> at the genus </w:t>
      </w:r>
      <w:r w:rsidR="005D473A">
        <w:rPr>
          <w:rFonts w:cs="Times New Roman"/>
          <w:szCs w:val="24"/>
          <w:lang w:val="en-GB"/>
        </w:rPr>
        <w:t>level</w:t>
      </w:r>
      <w:r w:rsidR="0054185E">
        <w:rPr>
          <w:rFonts w:cs="Times New Roman"/>
          <w:szCs w:val="24"/>
          <w:lang w:val="en-GB"/>
        </w:rPr>
        <w:t xml:space="preserve">. </w:t>
      </w:r>
      <w:r w:rsidR="00CE7FE6">
        <w:rPr>
          <w:rFonts w:cs="Times New Roman"/>
          <w:szCs w:val="24"/>
          <w:lang w:val="en-GB"/>
        </w:rPr>
        <w:t>These controls had sterile water in place of DNA extracted from blood</w:t>
      </w:r>
      <w:r w:rsidR="00906F2E">
        <w:rPr>
          <w:rFonts w:cs="Times New Roman"/>
          <w:szCs w:val="24"/>
          <w:lang w:val="en-GB"/>
        </w:rPr>
        <w:t xml:space="preserve"> and were used to account for contaminant sequences introduced during library preparation and sequencing</w:t>
      </w:r>
      <w:r w:rsidR="00CE7FE6">
        <w:rPr>
          <w:rFonts w:cs="Times New Roman"/>
          <w:szCs w:val="24"/>
          <w:lang w:val="en-GB"/>
        </w:rPr>
        <w:t xml:space="preserve">. </w:t>
      </w:r>
      <w:r w:rsidR="00331BF2">
        <w:rPr>
          <w:rFonts w:cs="Times New Roman"/>
          <w:szCs w:val="24"/>
          <w:lang w:val="en-GB"/>
        </w:rPr>
        <w:t>Indeed, s</w:t>
      </w:r>
      <w:r w:rsidR="00545AA9">
        <w:rPr>
          <w:rFonts w:cs="Times New Roman"/>
          <w:szCs w:val="24"/>
          <w:lang w:val="en-GB"/>
        </w:rPr>
        <w:t>ince t</w:t>
      </w:r>
      <w:r w:rsidR="00545AA9" w:rsidRPr="00545AA9">
        <w:rPr>
          <w:rFonts w:cs="Times New Roman"/>
          <w:szCs w:val="24"/>
          <w:lang w:val="en-GB"/>
        </w:rPr>
        <w:t xml:space="preserve">he microbial </w:t>
      </w:r>
      <w:r w:rsidR="00545AA9">
        <w:rPr>
          <w:rFonts w:cs="Times New Roman"/>
          <w:szCs w:val="24"/>
          <w:lang w:val="en-GB"/>
        </w:rPr>
        <w:t>taxa observed</w:t>
      </w:r>
      <w:r w:rsidR="00545AA9" w:rsidRPr="00545AA9">
        <w:rPr>
          <w:rFonts w:cs="Times New Roman"/>
          <w:szCs w:val="24"/>
          <w:lang w:val="en-GB"/>
        </w:rPr>
        <w:t xml:space="preserve"> in</w:t>
      </w:r>
      <w:r w:rsidR="00545AA9">
        <w:rPr>
          <w:rFonts w:cs="Times New Roman"/>
          <w:szCs w:val="24"/>
          <w:lang w:val="en-GB"/>
        </w:rPr>
        <w:t xml:space="preserve"> the</w:t>
      </w:r>
      <w:r w:rsidR="00545AA9" w:rsidRPr="00545AA9">
        <w:rPr>
          <w:rFonts w:cs="Times New Roman"/>
          <w:szCs w:val="24"/>
          <w:lang w:val="en-GB"/>
        </w:rPr>
        <w:t xml:space="preserve"> negative controls are assumed to be contaminants</w:t>
      </w:r>
      <w:r w:rsidR="00545AA9">
        <w:rPr>
          <w:rFonts w:cs="Times New Roman"/>
          <w:szCs w:val="24"/>
          <w:lang w:val="en-GB"/>
        </w:rPr>
        <w:t>, these taxa</w:t>
      </w:r>
      <w:r w:rsidR="0054185E">
        <w:rPr>
          <w:rFonts w:cs="Times New Roman"/>
          <w:szCs w:val="24"/>
          <w:lang w:val="en-GB"/>
        </w:rPr>
        <w:t xml:space="preserve"> </w:t>
      </w:r>
      <w:r w:rsidR="00545AA9">
        <w:rPr>
          <w:rFonts w:cs="Times New Roman"/>
          <w:szCs w:val="24"/>
          <w:lang w:val="en-GB"/>
        </w:rPr>
        <w:t xml:space="preserve">can be selectively omitted </w:t>
      </w:r>
      <w:r w:rsidR="003F7B54">
        <w:rPr>
          <w:rFonts w:cs="Times New Roman"/>
          <w:szCs w:val="24"/>
          <w:lang w:val="en-GB"/>
        </w:rPr>
        <w:t xml:space="preserve">to produce a </w:t>
      </w:r>
      <w:r w:rsidR="00545AA9">
        <w:rPr>
          <w:rFonts w:cs="Times New Roman"/>
          <w:szCs w:val="24"/>
          <w:lang w:val="en-GB"/>
        </w:rPr>
        <w:t>more</w:t>
      </w:r>
      <w:r w:rsidR="003F7B54">
        <w:rPr>
          <w:rFonts w:cs="Times New Roman"/>
          <w:szCs w:val="24"/>
          <w:lang w:val="en-GB"/>
        </w:rPr>
        <w:t xml:space="preserve"> accurate depiction of the microbial composition in blood</w:t>
      </w:r>
      <w:r w:rsidR="00485EC6">
        <w:rPr>
          <w:rFonts w:cs="Times New Roman"/>
          <w:szCs w:val="24"/>
          <w:lang w:val="en-GB"/>
        </w:rPr>
        <w:t xml:space="preserve">. </w:t>
      </w:r>
      <w:r w:rsidR="00C217C3">
        <w:rPr>
          <w:rFonts w:cs="Times New Roman"/>
          <w:szCs w:val="24"/>
          <w:lang w:val="en-GB"/>
        </w:rPr>
        <w:t>The results suggest that the</w:t>
      </w:r>
      <w:r w:rsidR="00485EC6">
        <w:rPr>
          <w:rFonts w:cs="Times New Roman"/>
          <w:szCs w:val="24"/>
          <w:lang w:val="en-GB"/>
        </w:rPr>
        <w:t xml:space="preserve"> number and </w:t>
      </w:r>
      <w:r w:rsidR="00735BEA">
        <w:rPr>
          <w:rFonts w:cs="Times New Roman"/>
          <w:szCs w:val="24"/>
          <w:lang w:val="en-GB"/>
        </w:rPr>
        <w:t xml:space="preserve">relative </w:t>
      </w:r>
      <w:r w:rsidR="00485EC6">
        <w:rPr>
          <w:rFonts w:cs="Times New Roman"/>
          <w:szCs w:val="24"/>
          <w:lang w:val="en-GB"/>
        </w:rPr>
        <w:t>abundance of microbial taxa detected</w:t>
      </w:r>
      <w:r w:rsidR="00C217C3">
        <w:rPr>
          <w:rFonts w:cs="Times New Roman"/>
          <w:szCs w:val="24"/>
          <w:lang w:val="en-GB"/>
        </w:rPr>
        <w:t xml:space="preserve"> differed </w:t>
      </w:r>
      <w:r w:rsidR="00485EC6">
        <w:rPr>
          <w:rFonts w:cs="Times New Roman"/>
          <w:szCs w:val="24"/>
          <w:lang w:val="en-GB"/>
        </w:rPr>
        <w:t>between the two sample types</w:t>
      </w:r>
      <w:r w:rsidR="00860D9C">
        <w:rPr>
          <w:rFonts w:cs="Times New Roman"/>
          <w:szCs w:val="24"/>
          <w:lang w:val="en-GB"/>
        </w:rPr>
        <w:t>. This implies that the microbial sequences found in healthy human blood are</w:t>
      </w:r>
      <w:r w:rsidR="00760737">
        <w:rPr>
          <w:rFonts w:cs="Times New Roman"/>
          <w:szCs w:val="24"/>
          <w:lang w:val="en-GB"/>
        </w:rPr>
        <w:t xml:space="preserve"> more likely to originate from endogenous bacteria rather than</w:t>
      </w:r>
      <w:r w:rsidR="00860D9C">
        <w:rPr>
          <w:rFonts w:cs="Times New Roman"/>
          <w:szCs w:val="24"/>
          <w:lang w:val="en-GB"/>
        </w:rPr>
        <w:t xml:space="preserve"> </w:t>
      </w:r>
      <w:r w:rsidR="00760737">
        <w:rPr>
          <w:rFonts w:cs="Times New Roman"/>
          <w:szCs w:val="24"/>
          <w:lang w:val="en-GB"/>
        </w:rPr>
        <w:t>from</w:t>
      </w:r>
      <w:r w:rsidR="00860D9C">
        <w:rPr>
          <w:rFonts w:cs="Times New Roman"/>
          <w:szCs w:val="24"/>
          <w:lang w:val="en-GB"/>
        </w:rPr>
        <w:t xml:space="preserve"> contaminat</w:t>
      </w:r>
      <w:r w:rsidR="00760737">
        <w:rPr>
          <w:rFonts w:cs="Times New Roman"/>
          <w:szCs w:val="24"/>
          <w:lang w:val="en-GB"/>
        </w:rPr>
        <w:t>ion sources</w:t>
      </w:r>
      <w:r w:rsidR="00860D9C">
        <w:rPr>
          <w:rFonts w:cs="Times New Roman"/>
          <w:szCs w:val="24"/>
          <w:lang w:val="en-GB"/>
        </w:rPr>
        <w:t xml:space="preserve"> during library preparation, </w:t>
      </w:r>
      <w:r w:rsidR="00C217C3">
        <w:rPr>
          <w:rFonts w:cs="Times New Roman"/>
          <w:szCs w:val="24"/>
          <w:lang w:val="en-GB"/>
        </w:rPr>
        <w:t xml:space="preserve">providing </w:t>
      </w:r>
      <w:r w:rsidR="00860D9C">
        <w:rPr>
          <w:rFonts w:cs="Times New Roman"/>
          <w:szCs w:val="24"/>
          <w:lang w:val="en-GB"/>
        </w:rPr>
        <w:t>support</w:t>
      </w:r>
      <w:r w:rsidR="00C217C3">
        <w:rPr>
          <w:rFonts w:cs="Times New Roman"/>
          <w:szCs w:val="24"/>
          <w:lang w:val="en-GB"/>
        </w:rPr>
        <w:t xml:space="preserve"> for the existence of</w:t>
      </w:r>
      <w:r w:rsidR="00860D9C">
        <w:rPr>
          <w:rFonts w:cs="Times New Roman"/>
          <w:szCs w:val="24"/>
          <w:lang w:val="en-GB"/>
        </w:rPr>
        <w:t xml:space="preserve"> a human</w:t>
      </w:r>
      <w:r w:rsidR="00C217C3">
        <w:rPr>
          <w:rFonts w:cs="Times New Roman"/>
          <w:szCs w:val="24"/>
          <w:lang w:val="en-GB"/>
        </w:rPr>
        <w:t xml:space="preserve"> blood microbiome. </w:t>
      </w:r>
      <w:r w:rsidR="00BC2AC9">
        <w:rPr>
          <w:rFonts w:cs="Times New Roman"/>
          <w:szCs w:val="24"/>
          <w:lang w:val="en-GB"/>
        </w:rPr>
        <w:br w:type="page"/>
      </w:r>
    </w:p>
    <w:p w14:paraId="42B93683" w14:textId="30646ED8" w:rsidR="00BC2AC9" w:rsidRDefault="00BC2AC9" w:rsidP="001F51A2">
      <w:pPr>
        <w:pStyle w:val="Heading1"/>
      </w:pPr>
      <w:r>
        <w:lastRenderedPageBreak/>
        <w:t>Results</w:t>
      </w:r>
      <w:r w:rsidR="003A14AE">
        <w:t xml:space="preserve"> (1151)</w:t>
      </w:r>
    </w:p>
    <w:p w14:paraId="0BA9D745" w14:textId="5CD6A7AD" w:rsidR="002F33A7" w:rsidRDefault="002F33A7" w:rsidP="00BD2752">
      <w:pPr>
        <w:pStyle w:val="Heading2"/>
      </w:pPr>
      <w:r>
        <w:t>16S metagenomic sequencing</w:t>
      </w:r>
    </w:p>
    <w:p w14:paraId="30A61C69" w14:textId="2E042BE2" w:rsidR="002F33A7" w:rsidRPr="000F2787" w:rsidRDefault="002F33A7" w:rsidP="005E7C09">
      <w:pPr>
        <w:rPr>
          <w:rFonts w:cs="Times New Roman"/>
          <w:szCs w:val="24"/>
        </w:rPr>
      </w:pPr>
      <w:r w:rsidRPr="000F2787">
        <w:rPr>
          <w:rFonts w:cs="Times New Roman"/>
          <w:szCs w:val="24"/>
        </w:rPr>
        <w:t>Sequencing of the hypervariable region spanning V3-V4 of the bacterial 16S ribosomal RNA</w:t>
      </w:r>
      <w:r w:rsidR="00C9620F">
        <w:rPr>
          <w:rFonts w:cs="Times New Roman"/>
          <w:szCs w:val="24"/>
        </w:rPr>
        <w:t xml:space="preserve"> (rRNA)</w:t>
      </w:r>
      <w:r w:rsidRPr="000F2787">
        <w:rPr>
          <w:rFonts w:cs="Times New Roman"/>
          <w:szCs w:val="24"/>
        </w:rPr>
        <w:t xml:space="preserve"> gene was </w:t>
      </w:r>
      <w:r w:rsidR="00F6703B" w:rsidRPr="000F2787">
        <w:rPr>
          <w:rFonts w:cs="Times New Roman"/>
          <w:szCs w:val="24"/>
        </w:rPr>
        <w:t>peformed</w:t>
      </w:r>
      <w:r w:rsidRPr="000F2787">
        <w:rPr>
          <w:rFonts w:cs="Times New Roman"/>
          <w:szCs w:val="24"/>
        </w:rPr>
        <w:t xml:space="preserve"> to characterise the microbial composition of 23 healthy human blood samples and five negative water controls. A total of 3,205,568 paired-end reads were generated for all 28 samples in a single sequencing run, and 2,120,549 reads were retained after </w:t>
      </w:r>
      <w:r w:rsidR="00ED4896" w:rsidRPr="000F2787">
        <w:rPr>
          <w:rFonts w:cs="Times New Roman"/>
          <w:szCs w:val="24"/>
        </w:rPr>
        <w:t xml:space="preserve">all </w:t>
      </w:r>
      <w:r w:rsidRPr="000F2787">
        <w:rPr>
          <w:rFonts w:cs="Times New Roman"/>
          <w:szCs w:val="24"/>
        </w:rPr>
        <w:t>read processing</w:t>
      </w:r>
      <w:r w:rsidR="002C4608" w:rsidRPr="000F2787">
        <w:rPr>
          <w:rFonts w:cs="Times New Roman"/>
          <w:szCs w:val="24"/>
        </w:rPr>
        <w:t xml:space="preserve"> </w:t>
      </w:r>
      <w:r w:rsidR="00ED4896" w:rsidRPr="000F2787">
        <w:rPr>
          <w:rFonts w:cs="Times New Roman"/>
          <w:szCs w:val="24"/>
        </w:rPr>
        <w:t>steps</w:t>
      </w:r>
      <w:r w:rsidRPr="000F2787">
        <w:rPr>
          <w:rFonts w:cs="Times New Roman"/>
          <w:szCs w:val="24"/>
        </w:rPr>
        <w:t xml:space="preserve">. The distribution of reads per sample </w:t>
      </w:r>
      <w:r w:rsidR="002C4608" w:rsidRPr="000F2787">
        <w:rPr>
          <w:rFonts w:cs="Times New Roman"/>
          <w:szCs w:val="24"/>
        </w:rPr>
        <w:t xml:space="preserve">before and after these processing steps </w:t>
      </w:r>
      <w:r w:rsidR="00ED4896" w:rsidRPr="000F2787">
        <w:rPr>
          <w:rFonts w:cs="Times New Roman"/>
          <w:szCs w:val="24"/>
        </w:rPr>
        <w:t>(</w:t>
      </w:r>
      <w:r w:rsidRPr="000F2787">
        <w:rPr>
          <w:rFonts w:cs="Times New Roman"/>
          <w:b/>
          <w:bCs/>
          <w:szCs w:val="24"/>
        </w:rPr>
        <w:t>Figure 1</w:t>
      </w:r>
      <w:r w:rsidR="00ED4896" w:rsidRPr="000F2787">
        <w:rPr>
          <w:rFonts w:cs="Times New Roman"/>
          <w:szCs w:val="24"/>
        </w:rPr>
        <w:t>) suggests that</w:t>
      </w:r>
      <w:r w:rsidR="004A52BD" w:rsidRPr="000F2787">
        <w:rPr>
          <w:rFonts w:cs="Times New Roman"/>
          <w:szCs w:val="24"/>
        </w:rPr>
        <w:t xml:space="preserve"> </w:t>
      </w:r>
      <w:r w:rsidR="002C4608" w:rsidRPr="000F2787">
        <w:rPr>
          <w:rFonts w:cs="Times New Roman"/>
          <w:szCs w:val="24"/>
        </w:rPr>
        <w:t xml:space="preserve">most samples </w:t>
      </w:r>
      <w:r w:rsidR="00C80A5C" w:rsidRPr="000F2787">
        <w:rPr>
          <w:rFonts w:cs="Times New Roman"/>
          <w:szCs w:val="24"/>
        </w:rPr>
        <w:t xml:space="preserve">had a reasonable sequencing depth and overall read </w:t>
      </w:r>
      <w:r w:rsidR="004A52BD" w:rsidRPr="000F2787">
        <w:rPr>
          <w:rFonts w:cs="Times New Roman"/>
          <w:szCs w:val="24"/>
        </w:rPr>
        <w:t>quality</w:t>
      </w:r>
      <w:r w:rsidRPr="000F2787">
        <w:rPr>
          <w:rFonts w:cs="Times New Roman"/>
          <w:szCs w:val="24"/>
        </w:rPr>
        <w:t>.</w:t>
      </w:r>
      <w:r w:rsidR="00480FD9" w:rsidRPr="000F2787">
        <w:rPr>
          <w:rFonts w:cs="Times New Roman"/>
          <w:szCs w:val="24"/>
        </w:rPr>
        <w:t xml:space="preserve"> Two negative controls with less than 10,000 reads </w:t>
      </w:r>
      <w:r w:rsidR="001834F8" w:rsidRPr="000F2787">
        <w:rPr>
          <w:rFonts w:cs="Times New Roman"/>
          <w:szCs w:val="24"/>
        </w:rPr>
        <w:t>are</w:t>
      </w:r>
      <w:r w:rsidR="00480FD9" w:rsidRPr="000F2787">
        <w:rPr>
          <w:rFonts w:cs="Times New Roman"/>
          <w:szCs w:val="24"/>
        </w:rPr>
        <w:t xml:space="preserve"> </w:t>
      </w:r>
      <w:r w:rsidR="001834F8" w:rsidRPr="000F2787">
        <w:rPr>
          <w:rFonts w:cs="Times New Roman"/>
          <w:szCs w:val="24"/>
        </w:rPr>
        <w:t xml:space="preserve">considered potentially problematic </w:t>
      </w:r>
      <w:r w:rsidR="008E5CE3" w:rsidRPr="000F2787">
        <w:rPr>
          <w:rFonts w:cs="Times New Roman"/>
          <w:szCs w:val="24"/>
        </w:rPr>
        <w:t>samples but</w:t>
      </w:r>
      <w:r w:rsidR="001834F8" w:rsidRPr="000F2787">
        <w:rPr>
          <w:rFonts w:cs="Times New Roman"/>
          <w:szCs w:val="24"/>
        </w:rPr>
        <w:t xml:space="preserve"> were not excluded from further analysis to </w:t>
      </w:r>
      <w:r w:rsidR="0054410C" w:rsidRPr="000F2787">
        <w:rPr>
          <w:rFonts w:cs="Times New Roman"/>
          <w:szCs w:val="24"/>
        </w:rPr>
        <w:t xml:space="preserve">avoid </w:t>
      </w:r>
      <w:r w:rsidR="001834F8" w:rsidRPr="000F2787">
        <w:rPr>
          <w:rFonts w:cs="Times New Roman"/>
          <w:szCs w:val="24"/>
        </w:rPr>
        <w:t xml:space="preserve">introducing additional biases. </w:t>
      </w:r>
    </w:p>
    <w:p w14:paraId="0FF306A2" w14:textId="0C4C6FAE" w:rsidR="002F33A7" w:rsidRDefault="004A52BD" w:rsidP="002F33A7">
      <w:r w:rsidRPr="004A52BD">
        <w:rPr>
          <w:noProof/>
        </w:rPr>
        <w:drawing>
          <wp:inline distT="0" distB="0" distL="0" distR="0" wp14:anchorId="212DBCCF" wp14:editId="6B650B4C">
            <wp:extent cx="4314825" cy="2771775"/>
            <wp:effectExtent l="0" t="0" r="9525"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4314825" cy="2771775"/>
                    </a:xfrm>
                    <a:prstGeom prst="rect">
                      <a:avLst/>
                    </a:prstGeom>
                  </pic:spPr>
                </pic:pic>
              </a:graphicData>
            </a:graphic>
          </wp:inline>
        </w:drawing>
      </w:r>
    </w:p>
    <w:p w14:paraId="31EB72F6" w14:textId="6B89A7EC" w:rsidR="002F33A7" w:rsidRPr="006C7246" w:rsidRDefault="005E7C09" w:rsidP="006C7246">
      <w:pPr>
        <w:spacing w:line="276" w:lineRule="auto"/>
        <w:rPr>
          <w:rFonts w:cs="Times New Roman"/>
          <w:sz w:val="22"/>
          <w:szCs w:val="20"/>
        </w:rPr>
      </w:pPr>
      <w:r w:rsidRPr="006C7246">
        <w:rPr>
          <w:rFonts w:cs="Times New Roman"/>
          <w:b/>
          <w:bCs/>
          <w:sz w:val="22"/>
          <w:szCs w:val="20"/>
        </w:rPr>
        <w:t>Figure 1</w:t>
      </w:r>
      <w:r w:rsidR="00585DF8" w:rsidRPr="006C7246">
        <w:rPr>
          <w:rFonts w:cs="Times New Roman"/>
          <w:b/>
          <w:bCs/>
          <w:sz w:val="22"/>
          <w:szCs w:val="20"/>
        </w:rPr>
        <w:t>. Per</w:t>
      </w:r>
      <w:r w:rsidR="00B52982" w:rsidRPr="006C7246">
        <w:rPr>
          <w:rFonts w:cs="Times New Roman"/>
          <w:b/>
          <w:bCs/>
          <w:sz w:val="22"/>
          <w:szCs w:val="20"/>
        </w:rPr>
        <w:t>-</w:t>
      </w:r>
      <w:r w:rsidR="00585DF8" w:rsidRPr="006C7246">
        <w:rPr>
          <w:rFonts w:cs="Times New Roman"/>
          <w:b/>
          <w:bCs/>
          <w:sz w:val="22"/>
          <w:szCs w:val="20"/>
        </w:rPr>
        <w:t xml:space="preserve">sample distribution of reads. </w:t>
      </w:r>
      <w:r w:rsidR="00585DF8" w:rsidRPr="006C7246">
        <w:rPr>
          <w:rFonts w:cs="Times New Roman"/>
          <w:sz w:val="22"/>
          <w:szCs w:val="20"/>
        </w:rPr>
        <w:t xml:space="preserve">The read counts of samples before and after all read processing steps </w:t>
      </w:r>
      <w:r w:rsidR="00B5170C" w:rsidRPr="006C7246">
        <w:rPr>
          <w:rFonts w:cs="Times New Roman"/>
          <w:sz w:val="22"/>
          <w:szCs w:val="20"/>
        </w:rPr>
        <w:t>were extracted from the respective FASTQ files and visualised</w:t>
      </w:r>
      <w:r w:rsidR="00585DF8" w:rsidRPr="006C7246">
        <w:rPr>
          <w:rFonts w:cs="Times New Roman"/>
          <w:sz w:val="22"/>
          <w:szCs w:val="20"/>
        </w:rPr>
        <w:t xml:space="preserve">. The black dashed line indicates the read count threshold of 10,000 reads. Negative controls that were excluded are denoted by red boxes. </w:t>
      </w:r>
    </w:p>
    <w:p w14:paraId="2A5A4459" w14:textId="4C66A040" w:rsidR="00BD2752" w:rsidRDefault="001459E7" w:rsidP="003B6FD2">
      <w:pPr>
        <w:pStyle w:val="Heading2"/>
      </w:pPr>
      <w:r>
        <w:t>H</w:t>
      </w:r>
      <w:r w:rsidR="00BD2752" w:rsidRPr="00B94335">
        <w:t xml:space="preserve">ealthy human blood </w:t>
      </w:r>
      <w:r>
        <w:t>and negative controls have distinct microbial compositions</w:t>
      </w:r>
    </w:p>
    <w:p w14:paraId="467F9BFD" w14:textId="3304C587" w:rsidR="00F6417A" w:rsidRPr="000F2787" w:rsidRDefault="006C02B7" w:rsidP="00AE0FE8">
      <w:pPr>
        <w:rPr>
          <w:rFonts w:cs="Times New Roman"/>
          <w:szCs w:val="24"/>
        </w:rPr>
      </w:pPr>
      <w:r w:rsidRPr="000F2787">
        <w:rPr>
          <w:rFonts w:cs="Times New Roman"/>
          <w:szCs w:val="24"/>
        </w:rPr>
        <w:t>Taxonomic classification of the</w:t>
      </w:r>
      <w:r w:rsidR="00610210" w:rsidRPr="000F2787">
        <w:rPr>
          <w:rFonts w:cs="Times New Roman"/>
          <w:szCs w:val="24"/>
        </w:rPr>
        <w:t xml:space="preserve"> processed reads </w:t>
      </w:r>
      <w:r w:rsidRPr="000F2787">
        <w:rPr>
          <w:rFonts w:cs="Times New Roman"/>
          <w:szCs w:val="24"/>
        </w:rPr>
        <w:t xml:space="preserve">for each sample was performed using </w:t>
      </w:r>
      <w:r w:rsidRPr="00604976">
        <w:rPr>
          <w:rFonts w:cs="Times New Roman"/>
          <w:i/>
          <w:iCs/>
          <w:szCs w:val="24"/>
        </w:rPr>
        <w:t>Kraken 2</w:t>
      </w:r>
      <w:r w:rsidR="00610210" w:rsidRPr="000F2787">
        <w:rPr>
          <w:rFonts w:cs="Times New Roman"/>
          <w:szCs w:val="24"/>
        </w:rPr>
        <w:t xml:space="preserve"> </w:t>
      </w:r>
      <w:r w:rsidRPr="000F2787">
        <w:rPr>
          <w:rFonts w:cs="Times New Roman"/>
          <w:szCs w:val="24"/>
        </w:rPr>
        <w:fldChar w:fldCharType="begin" w:fldLock="1"/>
      </w:r>
      <w:r w:rsidRPr="000F2787">
        <w:rPr>
          <w:rFonts w:cs="Times New Roman"/>
          <w:szCs w:val="24"/>
        </w:rPr>
        <w:instrText>ADDIN CSL_CITATION {"citationItems":[{"id":"ITEM-1","itemData":{"ISSN":"1474-760X","author":[{"dropping-particle":"","family":"Wood","given":"Derrick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biology","id":"ITEM-1","issue":"1","issued":{"date-parts":[["2019"]]},"page":"257","publisher":"Springer","title":"Improved metagenomic analysis with Kraken 2","type":"article-journal","volume":"20"},"uris":["http://www.mendeley.com/documents/?uuid=aa616374-36f2-441b-8b11-4825975c2682"]}],"mendeley":{"formattedCitation":"(Wood, Lu and Langmead, 2019)","plainTextFormattedCitation":"(Wood, Lu and Langmead, 2019)","previouslyFormattedCitation":"(Wood, Lu and Langmead, 2019)"},"properties":{"noteIndex":0},"schema":"https://github.com/citation-style-language/schema/raw/master/csl-citation.json"}</w:instrText>
      </w:r>
      <w:r w:rsidRPr="000F2787">
        <w:rPr>
          <w:rFonts w:cs="Times New Roman"/>
          <w:szCs w:val="24"/>
        </w:rPr>
        <w:fldChar w:fldCharType="separate"/>
      </w:r>
      <w:r w:rsidRPr="000F2787">
        <w:rPr>
          <w:rFonts w:cs="Times New Roman"/>
          <w:noProof/>
          <w:szCs w:val="24"/>
        </w:rPr>
        <w:t>(Wood, Lu and Langmead, 2019)</w:t>
      </w:r>
      <w:r w:rsidRPr="000F2787">
        <w:rPr>
          <w:rFonts w:cs="Times New Roman"/>
          <w:szCs w:val="24"/>
        </w:rPr>
        <w:fldChar w:fldCharType="end"/>
      </w:r>
      <w:r w:rsidRPr="000F2787">
        <w:rPr>
          <w:rFonts w:cs="Times New Roman"/>
          <w:szCs w:val="24"/>
        </w:rPr>
        <w:t>.</w:t>
      </w:r>
      <w:r w:rsidR="00604976">
        <w:rPr>
          <w:rFonts w:cs="Times New Roman"/>
          <w:szCs w:val="24"/>
        </w:rPr>
        <w:t xml:space="preserve"> This strategy was used instead of conventional 16S </w:t>
      </w:r>
      <w:r w:rsidR="00221699">
        <w:rPr>
          <w:rFonts w:cs="Times New Roman"/>
          <w:szCs w:val="24"/>
        </w:rPr>
        <w:t xml:space="preserve">metagenomic analysis </w:t>
      </w:r>
      <w:r w:rsidR="00604976">
        <w:rPr>
          <w:rFonts w:cs="Times New Roman"/>
          <w:szCs w:val="24"/>
        </w:rPr>
        <w:t xml:space="preserve">pipelines such as </w:t>
      </w:r>
      <w:r w:rsidR="00604976" w:rsidRPr="00604976">
        <w:rPr>
          <w:rFonts w:cs="Times New Roman"/>
          <w:i/>
          <w:iCs/>
          <w:szCs w:val="24"/>
        </w:rPr>
        <w:t>QIIME</w:t>
      </w:r>
      <w:r w:rsidR="00604976">
        <w:rPr>
          <w:rFonts w:cs="Times New Roman"/>
          <w:i/>
          <w:iCs/>
          <w:szCs w:val="24"/>
        </w:rPr>
        <w:t xml:space="preserve"> </w:t>
      </w:r>
      <w:r w:rsidR="00604976" w:rsidRPr="00604976">
        <w:rPr>
          <w:rFonts w:cs="Times New Roman"/>
          <w:i/>
          <w:iCs/>
          <w:szCs w:val="24"/>
        </w:rPr>
        <w:t>2</w:t>
      </w:r>
      <w:r w:rsidR="00604976">
        <w:rPr>
          <w:rFonts w:cs="Times New Roman"/>
          <w:szCs w:val="24"/>
        </w:rPr>
        <w:t xml:space="preserve"> </w:t>
      </w:r>
      <w:r w:rsidR="00604976">
        <w:rPr>
          <w:rFonts w:cs="Times New Roman"/>
          <w:szCs w:val="24"/>
        </w:rPr>
        <w:fldChar w:fldCharType="begin" w:fldLock="1"/>
      </w:r>
      <w:r w:rsidR="00604976">
        <w:rPr>
          <w:rFonts w:cs="Times New Roman"/>
          <w:szCs w:val="24"/>
        </w:rPr>
        <w:instrText>ADDIN CSL_CITATION {"citationItems":[{"id":"ITEM-1","itemData":{"ISSN":"1546-1696","author":[{"dropping-particle":"","family":"Bolyen","given":"Evan","non-dropping-particle":"","parse-names":false,"suffix":""},{"dropping-particle":"","family":"Rideout","given":"Jai Ram","non-dropping-particle":"","parse-names":false,"suffix":""},{"dropping-particle":"","family":"Dillon","given":"Matthew R","non-dropping-particle":"","parse-names":false,"suffix":""},{"dropping-particle":"","family":"Bokulich","given":"Nicholas A","non-dropping-particle":"","parse-names":false,"suffix":""},{"dropping-particle":"","family":"Abnet","given":"Christian C","non-dropping-particle":"","parse-names":false,"suffix":""},{"dropping-particle":"","family":"Al-Ghalith","given":"Gabriel A","non-dropping-particle":"","parse-names":false,"suffix":""},{"dropping-particle":"","family":"Alexander","given":"Harriet","non-dropping-particle":"","parse-names":false,"suffix":""},{"dropping-particle":"","family":"Alm","given":"Eric J","non-dropping-particle":"","parse-names":false,"suffix":""},{"dropping-particle":"","family":"Arumugam","given":"Manimozhiyan","non-dropping-particle":"","parse-names":false,"suffix":""},{"dropping-particle":"","family":"Asnicar","given":"Francesco","non-dropping-particle":"","parse-names":false,"suffix":""}],"container-title":"Nature biotechnology","id":"ITEM-1","issue":"8","issued":{"date-parts":[["2019"]]},"page":"852-857","publisher":"Nature Publishing Group","title":"Reproducible, interactive, scalable and extensible microbiome data science using QIIME 2","type":"article-journal","volume":"37"},"uris":["http://www.mendeley.com/documents/?uuid=6d684de7-a22e-4c82-8134-854b5eb4b739"]}],"mendeley":{"formattedCitation":"(Bolyen &lt;i&gt;et al.&lt;/i&gt;, 2019)","plainTextFormattedCitation":"(Bolyen et al., 2019)","previouslyFormattedCitation":"(Bolyen &lt;i&gt;et al.&lt;/i&gt;, 2019)"},"properties":{"noteIndex":0},"schema":"https://github.com/citation-style-language/schema/raw/master/csl-citation.json"}</w:instrText>
      </w:r>
      <w:r w:rsidR="00604976">
        <w:rPr>
          <w:rFonts w:cs="Times New Roman"/>
          <w:szCs w:val="24"/>
        </w:rPr>
        <w:fldChar w:fldCharType="separate"/>
      </w:r>
      <w:r w:rsidR="00604976" w:rsidRPr="00604976">
        <w:rPr>
          <w:rFonts w:cs="Times New Roman"/>
          <w:noProof/>
          <w:szCs w:val="24"/>
        </w:rPr>
        <w:t xml:space="preserve">(Bolyen </w:t>
      </w:r>
      <w:r w:rsidR="00604976" w:rsidRPr="00604976">
        <w:rPr>
          <w:rFonts w:cs="Times New Roman"/>
          <w:i/>
          <w:noProof/>
          <w:szCs w:val="24"/>
        </w:rPr>
        <w:t>et al.</w:t>
      </w:r>
      <w:r w:rsidR="00604976" w:rsidRPr="00604976">
        <w:rPr>
          <w:rFonts w:cs="Times New Roman"/>
          <w:noProof/>
          <w:szCs w:val="24"/>
        </w:rPr>
        <w:t>, 2019)</w:t>
      </w:r>
      <w:r w:rsidR="00604976">
        <w:rPr>
          <w:rFonts w:cs="Times New Roman"/>
          <w:szCs w:val="24"/>
        </w:rPr>
        <w:fldChar w:fldCharType="end"/>
      </w:r>
      <w:r w:rsidR="00604976">
        <w:rPr>
          <w:rFonts w:cs="Times New Roman"/>
          <w:szCs w:val="24"/>
        </w:rPr>
        <w:t xml:space="preserve"> since </w:t>
      </w:r>
      <w:r w:rsidR="00604976" w:rsidRPr="00604976">
        <w:rPr>
          <w:rFonts w:cs="Times New Roman"/>
          <w:i/>
          <w:iCs/>
          <w:szCs w:val="24"/>
        </w:rPr>
        <w:t>Kraken 2</w:t>
      </w:r>
      <w:r w:rsidR="00604976">
        <w:rPr>
          <w:rFonts w:cs="Times New Roman"/>
          <w:szCs w:val="24"/>
        </w:rPr>
        <w:t xml:space="preserve"> was shown to be faster and more accurate </w:t>
      </w:r>
      <w:r w:rsidR="00604976">
        <w:rPr>
          <w:rFonts w:cs="Times New Roman"/>
          <w:szCs w:val="24"/>
        </w:rPr>
        <w:fldChar w:fldCharType="begin" w:fldLock="1"/>
      </w:r>
      <w:r w:rsidR="00952BAE">
        <w:rPr>
          <w:rFonts w:cs="Times New Roman"/>
          <w:szCs w:val="24"/>
        </w:rPr>
        <w:instrText>ADDIN CSL_CITATION {"citationItems":[{"id":"ITEM-1","itemData":{"DOI":"10.1186/s40168-020-00900-2","ISSN":"2049-2618","abstract":"For decades, 16S ribosomal RNA sequencing has been the primary means for identifying the bacterial species present in a sample with unknown composition. One of the most widely used tools for this purpose today is the QIIME (Quantitative Insights Into Microbial Ecology) package. Recent results have shown that the newest release, QIIME 2, has higher accuracy than QIIME, MAPseq, and mothur when classifying bacterial genera from simulated human gut, ocean, and soil metagenomes, although QIIME 2 also proved to be the most computationally expensive. Kraken, first released in 2014, has been shown to provide exceptionally fast and accurate classification for shotgun metagenomics sequencing projects. Bracken, released in 2016, then provided users with the ability to accurately estimate species or genus relative abundances using Kraken classification results. Kraken 2, which matches the accuracy and speed of Kraken 1, now supports 16S rRNA databases, allowing for direct comparisons to QIIME and similar systems.","author":[{"dropping-particle":"","family":"Lu","given":"Jennifer","non-dropping-particle":"","parse-names":false,"suffix":""},{"dropping-particle":"","family":"Salzberg","given":"Steven L","non-dropping-particle":"","parse-names":false,"suffix":""}],"container-title":"Microbiome","id":"ITEM-1","issue":"1","issued":{"date-parts":[["2020"]]},"page":"124","title":"Ultrafast and accurate 16S rRNA microbial community analysis using Kraken 2","type":"article-journal","volume":"8"},"uris":["http://www.mendeley.com/documents/?uuid=c4241a63-726d-4886-9e80-d090da78afb3"]}],"mendeley":{"formattedCitation":"(Lu and Salzberg, 2020)","plainTextFormattedCitation":"(Lu and Salzberg, 2020)","previouslyFormattedCitation":"(Lu and Salzberg, 2020)"},"properties":{"noteIndex":0},"schema":"https://github.com/citation-style-language/schema/raw/master/csl-citation.json"}</w:instrText>
      </w:r>
      <w:r w:rsidR="00604976">
        <w:rPr>
          <w:rFonts w:cs="Times New Roman"/>
          <w:szCs w:val="24"/>
        </w:rPr>
        <w:fldChar w:fldCharType="separate"/>
      </w:r>
      <w:r w:rsidR="00747E63" w:rsidRPr="00747E63">
        <w:rPr>
          <w:rFonts w:cs="Times New Roman"/>
          <w:noProof/>
          <w:szCs w:val="24"/>
        </w:rPr>
        <w:t>(Lu and Salzberg, 2020)</w:t>
      </w:r>
      <w:r w:rsidR="00604976">
        <w:rPr>
          <w:rFonts w:cs="Times New Roman"/>
          <w:szCs w:val="24"/>
        </w:rPr>
        <w:fldChar w:fldCharType="end"/>
      </w:r>
      <w:r w:rsidR="00604976">
        <w:rPr>
          <w:rFonts w:cs="Times New Roman"/>
          <w:szCs w:val="24"/>
        </w:rPr>
        <w:t xml:space="preserve">. Additionally, </w:t>
      </w:r>
      <w:r w:rsidR="00604976">
        <w:rPr>
          <w:lang w:val="en-GB"/>
        </w:rPr>
        <w:t xml:space="preserve">since there is less uncertainty </w:t>
      </w:r>
      <w:r w:rsidR="00604976">
        <w:rPr>
          <w:lang w:val="en-GB"/>
        </w:rPr>
        <w:lastRenderedPageBreak/>
        <w:t xml:space="preserve">in taxonomic assignments at the genus than at the species level </w:t>
      </w:r>
      <w:r w:rsidR="00604976">
        <w:rPr>
          <w:lang w:val="en-GB"/>
        </w:rPr>
        <w:fldChar w:fldCharType="begin" w:fldLock="1"/>
      </w:r>
      <w:r w:rsidR="00604976">
        <w:rPr>
          <w:lang w:val="en-GB"/>
        </w:rPr>
        <w:instrText>ADDIN CSL_CITATION {"citationItems":[{"id":"ITEM-1","itemData":{"ISSN":"0092-8674","author":[{"dropping-particle":"","family":"Simon","given":"H Ye","non-dropping-particle":"","parse-names":false,"suffix":""},{"dropping-particle":"","family":"Siddle","given":"Katherine J","non-dropping-particle":"","parse-names":false,"suffix":""},{"dropping-particle":"","family":"Park","given":"Daniel J","non-dropping-particle":"","parse-names":false,"suffix":""},{"dropping-particle":"","family":"Sabeti","given":"Pardis C","non-dropping-particle":"","parse-names":false,"suffix":""}],"container-title":"Cell","id":"ITEM-1","issue":"4","issued":{"date-parts":[["2019"]]},"page":"779-794","publisher":"Elsevier","title":"Benchmarking metagenomics tools for taxonomic classification","type":"article-journal","volume":"178"},"uris":["http://www.mendeley.com/documents/?uuid=9b0a6072-e0ae-41f7-b4de-66dd3041eabb"]}],"mendeley":{"formattedCitation":"(Simon &lt;i&gt;et al.&lt;/i&gt;, 2019)","plainTextFormattedCitation":"(Simon et al., 2019)","previouslyFormattedCitation":"(Simon &lt;i&gt;et al.&lt;/i&gt;, 2019)"},"properties":{"noteIndex":0},"schema":"https://github.com/citation-style-language/schema/raw/master/csl-citation.json"}</w:instrText>
      </w:r>
      <w:r w:rsidR="00604976">
        <w:rPr>
          <w:lang w:val="en-GB"/>
        </w:rPr>
        <w:fldChar w:fldCharType="separate"/>
      </w:r>
      <w:r w:rsidR="00604976" w:rsidRPr="00E7364B">
        <w:rPr>
          <w:noProof/>
          <w:lang w:val="en-GB"/>
        </w:rPr>
        <w:t xml:space="preserve">(Simon </w:t>
      </w:r>
      <w:r w:rsidR="00604976" w:rsidRPr="00E7364B">
        <w:rPr>
          <w:i/>
          <w:noProof/>
          <w:lang w:val="en-GB"/>
        </w:rPr>
        <w:t>et al.</w:t>
      </w:r>
      <w:r w:rsidR="00604976" w:rsidRPr="00E7364B">
        <w:rPr>
          <w:noProof/>
          <w:lang w:val="en-GB"/>
        </w:rPr>
        <w:t>, 2019)</w:t>
      </w:r>
      <w:r w:rsidR="00604976">
        <w:rPr>
          <w:lang w:val="en-GB"/>
        </w:rPr>
        <w:fldChar w:fldCharType="end"/>
      </w:r>
      <w:r w:rsidR="00604976">
        <w:rPr>
          <w:lang w:val="en-GB"/>
        </w:rPr>
        <w:t xml:space="preserve">, </w:t>
      </w:r>
      <w:r w:rsidR="002131BE">
        <w:rPr>
          <w:rFonts w:cs="Times New Roman"/>
          <w:szCs w:val="24"/>
        </w:rPr>
        <w:t>t</w:t>
      </w:r>
      <w:r w:rsidR="002131BE" w:rsidRPr="000F2787">
        <w:rPr>
          <w:rFonts w:cs="Times New Roman"/>
          <w:szCs w:val="24"/>
        </w:rPr>
        <w:t xml:space="preserve">he taxonomic assignments were </w:t>
      </w:r>
      <w:r w:rsidR="002131BE">
        <w:rPr>
          <w:rFonts w:cs="Times New Roman"/>
          <w:szCs w:val="24"/>
        </w:rPr>
        <w:t xml:space="preserve">only </w:t>
      </w:r>
      <w:r w:rsidR="002131BE" w:rsidRPr="000F2787">
        <w:rPr>
          <w:rFonts w:cs="Times New Roman"/>
          <w:szCs w:val="24"/>
        </w:rPr>
        <w:t xml:space="preserve">used to calculate the relative abundance of genera </w:t>
      </w:r>
      <w:r w:rsidR="002131BE">
        <w:rPr>
          <w:lang w:val="en-GB"/>
        </w:rPr>
        <w:t>for downstream analyses</w:t>
      </w:r>
      <w:r w:rsidR="00604976">
        <w:rPr>
          <w:lang w:val="en-GB"/>
        </w:rPr>
        <w:t xml:space="preserve">. </w:t>
      </w:r>
      <w:r w:rsidR="000C6C07" w:rsidRPr="000F2787">
        <w:rPr>
          <w:rFonts w:cs="Times New Roman"/>
          <w:szCs w:val="24"/>
        </w:rPr>
        <w:t xml:space="preserve">The relative abundance of the </w:t>
      </w:r>
      <w:r w:rsidR="007F0B09" w:rsidRPr="000F2787">
        <w:rPr>
          <w:rFonts w:cs="Times New Roman"/>
          <w:szCs w:val="24"/>
        </w:rPr>
        <w:t>eight most abundant genera</w:t>
      </w:r>
      <w:r w:rsidR="000C6C07" w:rsidRPr="000F2787">
        <w:rPr>
          <w:rFonts w:cs="Times New Roman"/>
          <w:szCs w:val="24"/>
        </w:rPr>
        <w:t xml:space="preserve"> in blood samples and in controls were visually distinct (</w:t>
      </w:r>
      <w:r w:rsidR="000C6C07" w:rsidRPr="000F2787">
        <w:rPr>
          <w:rFonts w:cs="Times New Roman"/>
          <w:b/>
          <w:bCs/>
          <w:szCs w:val="24"/>
        </w:rPr>
        <w:t>Figure 2a</w:t>
      </w:r>
      <w:r w:rsidR="000C6C07" w:rsidRPr="000F2787">
        <w:rPr>
          <w:rFonts w:cs="Times New Roman"/>
          <w:szCs w:val="24"/>
        </w:rPr>
        <w:t xml:space="preserve">). For example, </w:t>
      </w:r>
      <w:r w:rsidR="00DC4014" w:rsidRPr="000F2787">
        <w:rPr>
          <w:rFonts w:cs="Times New Roman"/>
          <w:i/>
          <w:iCs/>
          <w:szCs w:val="24"/>
        </w:rPr>
        <w:t xml:space="preserve">Bifidobacterium </w:t>
      </w:r>
      <w:r w:rsidR="00DC4014" w:rsidRPr="000F2787">
        <w:rPr>
          <w:rFonts w:cs="Times New Roman"/>
          <w:szCs w:val="24"/>
        </w:rPr>
        <w:t>predomina</w:t>
      </w:r>
      <w:r w:rsidR="008E5CE3" w:rsidRPr="000F2787">
        <w:rPr>
          <w:rFonts w:cs="Times New Roman"/>
          <w:szCs w:val="24"/>
        </w:rPr>
        <w:t xml:space="preserve">tes </w:t>
      </w:r>
      <w:r w:rsidR="00DC4014" w:rsidRPr="000F2787">
        <w:rPr>
          <w:rFonts w:cs="Times New Roman"/>
          <w:szCs w:val="24"/>
        </w:rPr>
        <w:t>in blood</w:t>
      </w:r>
      <w:r w:rsidR="000C6C07" w:rsidRPr="000F2787">
        <w:rPr>
          <w:rFonts w:cs="Times New Roman"/>
          <w:szCs w:val="24"/>
        </w:rPr>
        <w:t xml:space="preserve"> samples</w:t>
      </w:r>
      <w:r w:rsidR="00033D34" w:rsidRPr="000F2787">
        <w:rPr>
          <w:rFonts w:cs="Times New Roman"/>
          <w:szCs w:val="24"/>
        </w:rPr>
        <w:t>,</w:t>
      </w:r>
      <w:r w:rsidR="00DC4014" w:rsidRPr="000F2787">
        <w:rPr>
          <w:rFonts w:cs="Times New Roman"/>
          <w:szCs w:val="24"/>
        </w:rPr>
        <w:t xml:space="preserve"> but not in the negative controls</w:t>
      </w:r>
      <w:r w:rsidR="000C6C07" w:rsidRPr="000F2787">
        <w:rPr>
          <w:rFonts w:cs="Times New Roman"/>
          <w:szCs w:val="24"/>
        </w:rPr>
        <w:t xml:space="preserve">. </w:t>
      </w:r>
      <w:r w:rsidR="00DD7F19" w:rsidRPr="000F2787">
        <w:rPr>
          <w:rFonts w:cs="Times New Roman"/>
          <w:szCs w:val="24"/>
        </w:rPr>
        <w:t xml:space="preserve">To </w:t>
      </w:r>
      <w:r w:rsidR="0015670C" w:rsidRPr="000F2787">
        <w:rPr>
          <w:rFonts w:cs="Times New Roman"/>
          <w:szCs w:val="24"/>
        </w:rPr>
        <w:t xml:space="preserve">determine </w:t>
      </w:r>
      <w:r w:rsidR="00DD7F19" w:rsidRPr="000F2787">
        <w:rPr>
          <w:rFonts w:cs="Times New Roman"/>
          <w:szCs w:val="24"/>
        </w:rPr>
        <w:t>if the diversity of microbial sequences differed between the sample types</w:t>
      </w:r>
      <w:r w:rsidR="00607073" w:rsidRPr="000F2787">
        <w:rPr>
          <w:rFonts w:cs="Times New Roman"/>
          <w:szCs w:val="24"/>
        </w:rPr>
        <w:t xml:space="preserve">, the </w:t>
      </w:r>
      <w:r w:rsidR="00A571BB" w:rsidRPr="000F2787">
        <w:rPr>
          <w:rFonts w:cs="Times New Roman"/>
          <w:szCs w:val="24"/>
        </w:rPr>
        <w:t xml:space="preserve">genus richness and </w:t>
      </w:r>
      <w:r w:rsidR="00607073" w:rsidRPr="000F2787">
        <w:rPr>
          <w:rFonts w:cs="Times New Roman"/>
          <w:szCs w:val="24"/>
        </w:rPr>
        <w:t>Shannon</w:t>
      </w:r>
      <w:r w:rsidR="00765F48" w:rsidRPr="000F2787">
        <w:rPr>
          <w:rFonts w:cs="Times New Roman"/>
          <w:szCs w:val="24"/>
        </w:rPr>
        <w:t xml:space="preserve"> </w:t>
      </w:r>
      <w:r w:rsidR="007C70D2" w:rsidRPr="000F2787">
        <w:rPr>
          <w:rFonts w:cs="Times New Roman"/>
          <w:szCs w:val="24"/>
        </w:rPr>
        <w:t xml:space="preserve">index </w:t>
      </w:r>
      <w:r w:rsidR="00607073" w:rsidRPr="000F2787">
        <w:rPr>
          <w:rFonts w:cs="Times New Roman"/>
          <w:szCs w:val="24"/>
        </w:rPr>
        <w:fldChar w:fldCharType="begin" w:fldLock="1"/>
      </w:r>
      <w:r w:rsidR="00CB603D">
        <w:rPr>
          <w:rFonts w:cs="Times New Roman"/>
          <w:szCs w:val="24"/>
        </w:rPr>
        <w:instrText>ADDIN CSL_CITATION {"citationItems":[{"id":"ITEM-1","itemData":{"ISSN":"0005-8580","author":[{"dropping-particle":"","family":"Shannon","given":"Claude E","non-dropping-particle":"","parse-names":false,"suffix":""}],"container-title":"The Bell system technical journal","id":"ITEM-1","issue":"3","issued":{"date-parts":[["1948"]]},"page":"379-423","publisher":"Nokia Bell Labs","title":"A mathematical theory of communication","type":"article-journal","volume":"27"},"uris":["http://www.mendeley.com/documents/?uuid=a4263a8a-2690-4d9d-b50e-eef6a5c25161"]}],"mendeley":{"formattedCitation":"(Shannon, 1948)","plainTextFormattedCitation":"(Shannon, 1948)","previouslyFormattedCitation":"(Shannon, 1948)"},"properties":{"noteIndex":0},"schema":"https://github.com/citation-style-language/schema/raw/master/csl-citation.json"}</w:instrText>
      </w:r>
      <w:r w:rsidR="00607073" w:rsidRPr="000F2787">
        <w:rPr>
          <w:rFonts w:cs="Times New Roman"/>
          <w:szCs w:val="24"/>
        </w:rPr>
        <w:fldChar w:fldCharType="separate"/>
      </w:r>
      <w:r w:rsidR="00607073" w:rsidRPr="000F2787">
        <w:rPr>
          <w:rFonts w:cs="Times New Roman"/>
          <w:noProof/>
          <w:szCs w:val="24"/>
        </w:rPr>
        <w:t>(Shannon, 1948)</w:t>
      </w:r>
      <w:r w:rsidR="00607073" w:rsidRPr="000F2787">
        <w:rPr>
          <w:rFonts w:cs="Times New Roman"/>
          <w:szCs w:val="24"/>
        </w:rPr>
        <w:fldChar w:fldCharType="end"/>
      </w:r>
      <w:r w:rsidR="00A571BB" w:rsidRPr="000F2787">
        <w:rPr>
          <w:rFonts w:cs="Times New Roman"/>
          <w:szCs w:val="24"/>
        </w:rPr>
        <w:t xml:space="preserve"> </w:t>
      </w:r>
      <w:r w:rsidR="00ED3DEF" w:rsidRPr="000F2787">
        <w:rPr>
          <w:rFonts w:cs="Times New Roman"/>
          <w:szCs w:val="24"/>
        </w:rPr>
        <w:t>for each sample was compared</w:t>
      </w:r>
      <w:r w:rsidR="00A571BB" w:rsidRPr="000F2787">
        <w:rPr>
          <w:rFonts w:cs="Times New Roman"/>
          <w:szCs w:val="24"/>
        </w:rPr>
        <w:t xml:space="preserve">. </w:t>
      </w:r>
      <w:r w:rsidR="00ED3DEF" w:rsidRPr="000F2787">
        <w:rPr>
          <w:rFonts w:cs="Times New Roman"/>
          <w:szCs w:val="24"/>
        </w:rPr>
        <w:t>Rarefaction was performed t</w:t>
      </w:r>
      <w:r w:rsidR="005468E7" w:rsidRPr="000F2787">
        <w:rPr>
          <w:rFonts w:cs="Times New Roman"/>
          <w:szCs w:val="24"/>
        </w:rPr>
        <w:t xml:space="preserve">o account for the </w:t>
      </w:r>
      <w:r w:rsidR="00A571BB" w:rsidRPr="000F2787">
        <w:rPr>
          <w:rFonts w:cs="Times New Roman"/>
          <w:szCs w:val="24"/>
        </w:rPr>
        <w:t>different sequencing depth</w:t>
      </w:r>
      <w:r w:rsidR="005468E7" w:rsidRPr="000F2787">
        <w:rPr>
          <w:rFonts w:cs="Times New Roman"/>
          <w:szCs w:val="24"/>
        </w:rPr>
        <w:t>s</w:t>
      </w:r>
      <w:r w:rsidR="00ED3DEF" w:rsidRPr="000F2787">
        <w:rPr>
          <w:rFonts w:cs="Times New Roman"/>
          <w:szCs w:val="24"/>
        </w:rPr>
        <w:t xml:space="preserve"> for each sample</w:t>
      </w:r>
      <w:r w:rsidR="005468E7" w:rsidRPr="000F2787">
        <w:rPr>
          <w:rFonts w:cs="Times New Roman"/>
          <w:szCs w:val="24"/>
        </w:rPr>
        <w:t xml:space="preserve"> </w:t>
      </w:r>
      <w:r w:rsidR="00A571BB" w:rsidRPr="000F2787">
        <w:rPr>
          <w:rFonts w:cs="Times New Roman"/>
          <w:szCs w:val="24"/>
        </w:rPr>
        <w:t>(</w:t>
      </w:r>
      <w:r w:rsidR="00A571BB" w:rsidRPr="000F2787">
        <w:rPr>
          <w:rFonts w:cs="Times New Roman"/>
          <w:b/>
          <w:bCs/>
          <w:szCs w:val="24"/>
        </w:rPr>
        <w:t>Figure 1</w:t>
      </w:r>
      <w:r w:rsidR="00A571BB" w:rsidRPr="000F2787">
        <w:rPr>
          <w:rFonts w:cs="Times New Roman"/>
          <w:szCs w:val="24"/>
        </w:rPr>
        <w:t>)</w:t>
      </w:r>
      <w:r w:rsidR="00ED3DEF" w:rsidRPr="000F2787">
        <w:rPr>
          <w:rFonts w:cs="Times New Roman"/>
          <w:szCs w:val="24"/>
        </w:rPr>
        <w:t xml:space="preserve">. </w:t>
      </w:r>
      <w:r w:rsidR="00835D02" w:rsidRPr="000F2787">
        <w:rPr>
          <w:rFonts w:cs="Times New Roman"/>
          <w:szCs w:val="24"/>
        </w:rPr>
        <w:t xml:space="preserve">Blood samples and controls had </w:t>
      </w:r>
      <w:r w:rsidR="00F77848" w:rsidRPr="000F2787">
        <w:rPr>
          <w:rFonts w:cs="Times New Roman"/>
          <w:szCs w:val="24"/>
        </w:rPr>
        <w:t>comparable</w:t>
      </w:r>
      <w:r w:rsidR="00835D02" w:rsidRPr="000F2787">
        <w:rPr>
          <w:rFonts w:cs="Times New Roman"/>
          <w:szCs w:val="24"/>
        </w:rPr>
        <w:t xml:space="preserve"> genus richness, but </w:t>
      </w:r>
      <w:r w:rsidR="00CF3274" w:rsidRPr="000F2787">
        <w:rPr>
          <w:rFonts w:cs="Times New Roman"/>
          <w:szCs w:val="24"/>
        </w:rPr>
        <w:t>blood samples</w:t>
      </w:r>
      <w:r w:rsidR="00835D02" w:rsidRPr="000F2787">
        <w:rPr>
          <w:rFonts w:cs="Times New Roman"/>
          <w:szCs w:val="24"/>
        </w:rPr>
        <w:t xml:space="preserve"> had a visibly </w:t>
      </w:r>
      <w:r w:rsidR="00CF3274" w:rsidRPr="000F2787">
        <w:rPr>
          <w:rFonts w:cs="Times New Roman"/>
          <w:szCs w:val="24"/>
        </w:rPr>
        <w:t>lower</w:t>
      </w:r>
      <w:r w:rsidR="00835D02" w:rsidRPr="000F2787">
        <w:rPr>
          <w:rFonts w:cs="Times New Roman"/>
          <w:szCs w:val="24"/>
        </w:rPr>
        <w:t xml:space="preserve"> Shannon </w:t>
      </w:r>
      <w:r w:rsidR="007C70D2" w:rsidRPr="000F2787">
        <w:rPr>
          <w:rFonts w:cs="Times New Roman"/>
          <w:szCs w:val="24"/>
        </w:rPr>
        <w:t>index</w:t>
      </w:r>
      <w:r w:rsidR="00835D02" w:rsidRPr="000F2787">
        <w:rPr>
          <w:rFonts w:cs="Times New Roman"/>
          <w:szCs w:val="24"/>
        </w:rPr>
        <w:t xml:space="preserve"> (</w:t>
      </w:r>
      <w:r w:rsidR="00835D02" w:rsidRPr="000F2787">
        <w:rPr>
          <w:rFonts w:cs="Times New Roman"/>
          <w:b/>
          <w:bCs/>
          <w:szCs w:val="24"/>
        </w:rPr>
        <w:t>Figure 2b</w:t>
      </w:r>
      <w:r w:rsidR="00835D02" w:rsidRPr="000F2787">
        <w:rPr>
          <w:rFonts w:cs="Times New Roman"/>
          <w:szCs w:val="24"/>
        </w:rPr>
        <w:t>).</w:t>
      </w:r>
      <w:r w:rsidR="007D35C3" w:rsidRPr="000F2787">
        <w:rPr>
          <w:rFonts w:cs="Times New Roman"/>
          <w:szCs w:val="24"/>
        </w:rPr>
        <w:t xml:space="preserve"> The Shannon index is a measure of both the </w:t>
      </w:r>
      <w:r w:rsidR="00835D02" w:rsidRPr="000F2787">
        <w:rPr>
          <w:rFonts w:cs="Times New Roman"/>
          <w:szCs w:val="24"/>
        </w:rPr>
        <w:t>number of genera (</w:t>
      </w:r>
      <w:r w:rsidR="00835D02" w:rsidRPr="000F2787">
        <w:rPr>
          <w:rFonts w:cs="Times New Roman"/>
          <w:i/>
          <w:iCs/>
          <w:szCs w:val="24"/>
        </w:rPr>
        <w:t>i.e.</w:t>
      </w:r>
      <w:r w:rsidR="00835D02" w:rsidRPr="000F2787">
        <w:rPr>
          <w:rFonts w:cs="Times New Roman"/>
          <w:szCs w:val="24"/>
        </w:rPr>
        <w:t xml:space="preserve"> richness)</w:t>
      </w:r>
      <w:r w:rsidR="007D35C3" w:rsidRPr="000F2787">
        <w:rPr>
          <w:rFonts w:cs="Times New Roman"/>
          <w:szCs w:val="24"/>
        </w:rPr>
        <w:t xml:space="preserve"> and how equal the relative abundance of genera are (</w:t>
      </w:r>
      <w:r w:rsidR="007D35C3" w:rsidRPr="000F2787">
        <w:rPr>
          <w:rFonts w:cs="Times New Roman"/>
          <w:i/>
          <w:iCs/>
          <w:szCs w:val="24"/>
        </w:rPr>
        <w:t>i.e.</w:t>
      </w:r>
      <w:r w:rsidR="007D35C3" w:rsidRPr="000F2787">
        <w:rPr>
          <w:rFonts w:cs="Times New Roman"/>
          <w:szCs w:val="24"/>
        </w:rPr>
        <w:t xml:space="preserve"> evenness)</w:t>
      </w:r>
      <w:r w:rsidR="00765F48" w:rsidRPr="000F2787">
        <w:rPr>
          <w:rFonts w:cs="Times New Roman"/>
          <w:szCs w:val="24"/>
        </w:rPr>
        <w:t>.</w:t>
      </w:r>
      <w:r w:rsidR="00F77848" w:rsidRPr="000F2787">
        <w:rPr>
          <w:rFonts w:cs="Times New Roman"/>
          <w:szCs w:val="24"/>
        </w:rPr>
        <w:t xml:space="preserve"> </w:t>
      </w:r>
      <w:r w:rsidR="00765F48" w:rsidRPr="000F2787">
        <w:rPr>
          <w:rFonts w:cs="Times New Roman"/>
          <w:szCs w:val="24"/>
        </w:rPr>
        <w:t xml:space="preserve">A </w:t>
      </w:r>
      <w:r w:rsidR="002014AD" w:rsidRPr="000F2787">
        <w:rPr>
          <w:rFonts w:cs="Times New Roman"/>
          <w:szCs w:val="24"/>
        </w:rPr>
        <w:t>higher</w:t>
      </w:r>
      <w:r w:rsidR="00726372" w:rsidRPr="000F2787">
        <w:rPr>
          <w:rFonts w:cs="Times New Roman"/>
          <w:szCs w:val="24"/>
        </w:rPr>
        <w:t xml:space="preserve"> </w:t>
      </w:r>
      <w:r w:rsidR="00765F48" w:rsidRPr="000F2787">
        <w:rPr>
          <w:rFonts w:cs="Times New Roman"/>
          <w:szCs w:val="24"/>
        </w:rPr>
        <w:t>Shannon index</w:t>
      </w:r>
      <w:r w:rsidR="002014AD" w:rsidRPr="000F2787">
        <w:rPr>
          <w:rFonts w:cs="Times New Roman"/>
          <w:szCs w:val="24"/>
        </w:rPr>
        <w:t xml:space="preserve"> indicates </w:t>
      </w:r>
      <w:r w:rsidR="00F77848" w:rsidRPr="000F2787">
        <w:rPr>
          <w:rFonts w:cs="Times New Roman"/>
          <w:szCs w:val="24"/>
        </w:rPr>
        <w:t>a higher</w:t>
      </w:r>
      <w:r w:rsidR="002014AD" w:rsidRPr="000F2787">
        <w:rPr>
          <w:rFonts w:cs="Times New Roman"/>
          <w:szCs w:val="24"/>
        </w:rPr>
        <w:t xml:space="preserve"> </w:t>
      </w:r>
      <w:r w:rsidR="00765F48" w:rsidRPr="000F2787">
        <w:rPr>
          <w:rFonts w:cs="Times New Roman"/>
          <w:szCs w:val="24"/>
        </w:rPr>
        <w:t>richness and</w:t>
      </w:r>
      <w:r w:rsidR="00F77848" w:rsidRPr="000F2787">
        <w:rPr>
          <w:rFonts w:cs="Times New Roman"/>
          <w:szCs w:val="24"/>
        </w:rPr>
        <w:t>/or</w:t>
      </w:r>
      <w:r w:rsidR="00765F48" w:rsidRPr="000F2787">
        <w:rPr>
          <w:rFonts w:cs="Times New Roman"/>
          <w:szCs w:val="24"/>
        </w:rPr>
        <w:t xml:space="preserve"> evenness</w:t>
      </w:r>
      <w:r w:rsidR="007D35C3" w:rsidRPr="000F2787">
        <w:rPr>
          <w:rFonts w:cs="Times New Roman"/>
          <w:szCs w:val="24"/>
        </w:rPr>
        <w:t xml:space="preserve">. </w:t>
      </w:r>
      <w:r w:rsidR="00F77848" w:rsidRPr="000F2787">
        <w:rPr>
          <w:rFonts w:cs="Times New Roman"/>
          <w:szCs w:val="24"/>
        </w:rPr>
        <w:t xml:space="preserve">Since the genus richness for the two sample types were comparable, the </w:t>
      </w:r>
      <w:r w:rsidR="004169D0" w:rsidRPr="000F2787">
        <w:rPr>
          <w:rFonts w:cs="Times New Roman"/>
          <w:szCs w:val="24"/>
        </w:rPr>
        <w:t xml:space="preserve">lower </w:t>
      </w:r>
      <w:r w:rsidR="00F77848" w:rsidRPr="000F2787">
        <w:rPr>
          <w:rFonts w:cs="Times New Roman"/>
          <w:szCs w:val="24"/>
        </w:rPr>
        <w:t xml:space="preserve">Shannon index </w:t>
      </w:r>
      <w:r w:rsidR="004169D0" w:rsidRPr="000F2787">
        <w:rPr>
          <w:rFonts w:cs="Times New Roman"/>
          <w:szCs w:val="24"/>
        </w:rPr>
        <w:t xml:space="preserve">for blood samples indicate </w:t>
      </w:r>
      <w:r w:rsidR="00776C6E" w:rsidRPr="000F2787">
        <w:rPr>
          <w:rFonts w:cs="Times New Roman"/>
          <w:szCs w:val="24"/>
        </w:rPr>
        <w:t>a lower evenness, which is</w:t>
      </w:r>
      <w:r w:rsidR="00726372" w:rsidRPr="000F2787">
        <w:rPr>
          <w:rFonts w:cs="Times New Roman"/>
          <w:szCs w:val="24"/>
        </w:rPr>
        <w:t xml:space="preserve"> </w:t>
      </w:r>
      <w:r w:rsidR="00735A2D" w:rsidRPr="000F2787">
        <w:rPr>
          <w:rFonts w:cs="Times New Roman"/>
          <w:szCs w:val="24"/>
        </w:rPr>
        <w:t>likely</w:t>
      </w:r>
      <w:r w:rsidR="00726372" w:rsidRPr="000F2787">
        <w:rPr>
          <w:rFonts w:cs="Times New Roman"/>
          <w:szCs w:val="24"/>
        </w:rPr>
        <w:t xml:space="preserve"> </w:t>
      </w:r>
      <w:r w:rsidR="00776C6E" w:rsidRPr="000F2787">
        <w:rPr>
          <w:rFonts w:cs="Times New Roman"/>
          <w:szCs w:val="24"/>
        </w:rPr>
        <w:t xml:space="preserve">driven by the </w:t>
      </w:r>
      <w:r w:rsidR="00726372" w:rsidRPr="000F2787">
        <w:rPr>
          <w:rFonts w:cs="Times New Roman"/>
          <w:szCs w:val="24"/>
        </w:rPr>
        <w:t>excess</w:t>
      </w:r>
      <w:r w:rsidR="00776C6E" w:rsidRPr="000F2787">
        <w:rPr>
          <w:rFonts w:cs="Times New Roman"/>
          <w:szCs w:val="24"/>
        </w:rPr>
        <w:t xml:space="preserve"> of </w:t>
      </w:r>
      <w:r w:rsidR="00776C6E" w:rsidRPr="000F2787">
        <w:rPr>
          <w:rFonts w:cs="Times New Roman"/>
          <w:i/>
          <w:iCs/>
          <w:szCs w:val="24"/>
        </w:rPr>
        <w:t>Bifidobacterium</w:t>
      </w:r>
      <w:r w:rsidR="003A5F74" w:rsidRPr="000F2787">
        <w:rPr>
          <w:rFonts w:cs="Times New Roman"/>
          <w:i/>
          <w:iCs/>
          <w:szCs w:val="24"/>
        </w:rPr>
        <w:t xml:space="preserve"> </w:t>
      </w:r>
      <w:r w:rsidR="00CF3274" w:rsidRPr="000F2787">
        <w:rPr>
          <w:rFonts w:cs="Times New Roman"/>
          <w:szCs w:val="24"/>
        </w:rPr>
        <w:t>sequences</w:t>
      </w:r>
      <w:r w:rsidR="003A5F74" w:rsidRPr="000F2787">
        <w:rPr>
          <w:rFonts w:cs="Times New Roman"/>
          <w:szCs w:val="24"/>
        </w:rPr>
        <w:t>.</w:t>
      </w:r>
    </w:p>
    <w:p w14:paraId="36B7C324" w14:textId="6BC13BE9" w:rsidR="000F2787" w:rsidRPr="000F2787" w:rsidRDefault="002D276E" w:rsidP="00AE0FE8">
      <w:pPr>
        <w:rPr>
          <w:rFonts w:cs="Times New Roman"/>
          <w:szCs w:val="24"/>
        </w:rPr>
      </w:pPr>
      <w:r w:rsidRPr="000F2787">
        <w:rPr>
          <w:rFonts w:cs="Times New Roman"/>
          <w:szCs w:val="24"/>
        </w:rPr>
        <w:t xml:space="preserve">To further determine whether the microbial composition of the two sample types could be distinguished, </w:t>
      </w:r>
      <w:r w:rsidR="007E515E">
        <w:rPr>
          <w:rFonts w:cs="Times New Roman"/>
          <w:szCs w:val="24"/>
        </w:rPr>
        <w:t xml:space="preserve">ordination using </w:t>
      </w:r>
      <w:r w:rsidR="00E42DA4" w:rsidRPr="000F2787">
        <w:rPr>
          <w:rFonts w:cs="Times New Roman"/>
          <w:szCs w:val="24"/>
        </w:rPr>
        <w:t>principal</w:t>
      </w:r>
      <w:r w:rsidRPr="000F2787">
        <w:rPr>
          <w:rFonts w:cs="Times New Roman"/>
          <w:szCs w:val="24"/>
        </w:rPr>
        <w:t xml:space="preserve"> coordinates analysis (PCoA)</w:t>
      </w:r>
      <w:r w:rsidR="00E90653">
        <w:rPr>
          <w:rFonts w:cs="Times New Roman"/>
          <w:szCs w:val="24"/>
        </w:rPr>
        <w:t xml:space="preserve"> </w:t>
      </w:r>
      <w:r w:rsidRPr="000F2787">
        <w:rPr>
          <w:rFonts w:cs="Times New Roman"/>
          <w:szCs w:val="24"/>
        </w:rPr>
        <w:t>was performe</w:t>
      </w:r>
      <w:r w:rsidR="00E42DA4" w:rsidRPr="000F2787">
        <w:rPr>
          <w:rFonts w:cs="Times New Roman"/>
          <w:szCs w:val="24"/>
        </w:rPr>
        <w:t>d</w:t>
      </w:r>
      <w:r w:rsidRPr="000F2787">
        <w:rPr>
          <w:rFonts w:cs="Times New Roman"/>
          <w:szCs w:val="24"/>
        </w:rPr>
        <w:t xml:space="preserve">. The first </w:t>
      </w:r>
      <w:r w:rsidR="00E42DA4" w:rsidRPr="000F2787">
        <w:rPr>
          <w:rFonts w:cs="Times New Roman"/>
          <w:szCs w:val="24"/>
        </w:rPr>
        <w:t>principal</w:t>
      </w:r>
      <w:r w:rsidR="00AE18DA" w:rsidRPr="000F2787">
        <w:rPr>
          <w:rFonts w:cs="Times New Roman"/>
          <w:szCs w:val="24"/>
        </w:rPr>
        <w:t xml:space="preserve"> coordinate axis </w:t>
      </w:r>
      <w:r w:rsidR="00325F15" w:rsidRPr="000F2787">
        <w:rPr>
          <w:rFonts w:cs="Times New Roman"/>
          <w:szCs w:val="24"/>
        </w:rPr>
        <w:t>separated the two sample types clearly (</w:t>
      </w:r>
      <w:r w:rsidR="00325F15" w:rsidRPr="000F2787">
        <w:rPr>
          <w:rFonts w:cs="Times New Roman"/>
          <w:b/>
          <w:bCs/>
          <w:szCs w:val="24"/>
        </w:rPr>
        <w:t>Figure 2c</w:t>
      </w:r>
      <w:r w:rsidR="00325F15" w:rsidRPr="000F2787">
        <w:rPr>
          <w:rFonts w:cs="Times New Roman"/>
          <w:szCs w:val="24"/>
        </w:rPr>
        <w:t>; upper panel</w:t>
      </w:r>
      <w:r w:rsidR="00270F92" w:rsidRPr="000F2787">
        <w:rPr>
          <w:rFonts w:cs="Times New Roman"/>
          <w:szCs w:val="24"/>
        </w:rPr>
        <w:t>) and</w:t>
      </w:r>
      <w:r w:rsidR="00325F15" w:rsidRPr="000F2787">
        <w:rPr>
          <w:rFonts w:cs="Times New Roman"/>
          <w:szCs w:val="24"/>
        </w:rPr>
        <w:t xml:space="preserve"> </w:t>
      </w:r>
      <w:r w:rsidR="00AE18DA" w:rsidRPr="000F2787">
        <w:rPr>
          <w:rFonts w:cs="Times New Roman"/>
          <w:szCs w:val="24"/>
        </w:rPr>
        <w:t>accounted for</w:t>
      </w:r>
      <w:r w:rsidR="00325F15" w:rsidRPr="000F2787">
        <w:rPr>
          <w:rFonts w:cs="Times New Roman"/>
          <w:szCs w:val="24"/>
        </w:rPr>
        <w:t xml:space="preserve"> a major proportion </w:t>
      </w:r>
      <w:r w:rsidR="00AE18DA" w:rsidRPr="000F2787">
        <w:rPr>
          <w:rFonts w:cs="Times New Roman"/>
          <w:szCs w:val="24"/>
        </w:rPr>
        <w:t>of variation in th</w:t>
      </w:r>
      <w:r w:rsidR="00E42DA4" w:rsidRPr="000F2787">
        <w:rPr>
          <w:rFonts w:cs="Times New Roman"/>
          <w:szCs w:val="24"/>
        </w:rPr>
        <w:t>e relative abundance data</w:t>
      </w:r>
      <w:r w:rsidR="00325F15" w:rsidRPr="000F2787">
        <w:rPr>
          <w:rFonts w:cs="Times New Roman"/>
          <w:szCs w:val="24"/>
        </w:rPr>
        <w:t xml:space="preserve"> (</w:t>
      </w:r>
      <w:r w:rsidR="006D2117" w:rsidRPr="000F2787">
        <w:rPr>
          <w:rFonts w:cs="Times New Roman"/>
          <w:szCs w:val="24"/>
        </w:rPr>
        <w:t xml:space="preserve">58.5%; </w:t>
      </w:r>
      <w:r w:rsidR="00325F15" w:rsidRPr="000F2787">
        <w:rPr>
          <w:rFonts w:cs="Times New Roman"/>
          <w:szCs w:val="24"/>
        </w:rPr>
        <w:t>lower panel)</w:t>
      </w:r>
      <w:r w:rsidR="00E64B34" w:rsidRPr="000F2787">
        <w:rPr>
          <w:rFonts w:cs="Times New Roman"/>
          <w:szCs w:val="24"/>
        </w:rPr>
        <w:t>.</w:t>
      </w:r>
      <w:r w:rsidR="00E6050A" w:rsidRPr="000F2787">
        <w:rPr>
          <w:rFonts w:cs="Times New Roman"/>
          <w:szCs w:val="24"/>
        </w:rPr>
        <w:t xml:space="preserve"> </w:t>
      </w:r>
      <w:r w:rsidR="00082239" w:rsidRPr="000F2787">
        <w:rPr>
          <w:rFonts w:cs="Times New Roman"/>
          <w:szCs w:val="24"/>
        </w:rPr>
        <w:t xml:space="preserve">Additionally, </w:t>
      </w:r>
      <w:r w:rsidR="00E6050A" w:rsidRPr="000F2787">
        <w:rPr>
          <w:rFonts w:cs="Times New Roman"/>
          <w:i/>
          <w:iCs/>
          <w:szCs w:val="24"/>
        </w:rPr>
        <w:t>t</w:t>
      </w:r>
      <w:r w:rsidR="00E6050A" w:rsidRPr="000F2787">
        <w:rPr>
          <w:rFonts w:cs="Times New Roman"/>
          <w:szCs w:val="24"/>
        </w:rPr>
        <w:t>-distributed stochastic neighbour embedding (</w:t>
      </w:r>
      <w:r w:rsidR="00E6050A" w:rsidRPr="000F2787">
        <w:rPr>
          <w:rFonts w:cs="Times New Roman"/>
          <w:i/>
          <w:iCs/>
          <w:szCs w:val="24"/>
        </w:rPr>
        <w:t>t</w:t>
      </w:r>
      <w:r w:rsidR="00E6050A" w:rsidRPr="000F2787">
        <w:rPr>
          <w:rFonts w:cs="Times New Roman"/>
          <w:szCs w:val="24"/>
        </w:rPr>
        <w:t>-SNE)</w:t>
      </w:r>
      <w:r w:rsidR="00082239" w:rsidRPr="000F2787">
        <w:rPr>
          <w:rFonts w:cs="Times New Roman"/>
          <w:szCs w:val="24"/>
        </w:rPr>
        <w:t xml:space="preserve"> was used to identify groups of samples with similar microbial compositions in an unsupervised fashion. </w:t>
      </w:r>
      <w:r w:rsidR="001D4937" w:rsidRPr="000F2787">
        <w:rPr>
          <w:rFonts w:cs="Times New Roman"/>
          <w:szCs w:val="24"/>
        </w:rPr>
        <w:t xml:space="preserve">In this context, </w:t>
      </w:r>
      <w:r w:rsidR="001D4937" w:rsidRPr="000F2787">
        <w:rPr>
          <w:rFonts w:cs="Times New Roman"/>
          <w:i/>
          <w:iCs/>
          <w:szCs w:val="24"/>
        </w:rPr>
        <w:t>t</w:t>
      </w:r>
      <w:r w:rsidR="001D4937" w:rsidRPr="000F2787">
        <w:rPr>
          <w:rFonts w:cs="Times New Roman"/>
          <w:szCs w:val="24"/>
        </w:rPr>
        <w:t>-SNE</w:t>
      </w:r>
      <w:r w:rsidR="00D177BD" w:rsidRPr="000F2787">
        <w:rPr>
          <w:rFonts w:cs="Times New Roman"/>
          <w:szCs w:val="24"/>
        </w:rPr>
        <w:t xml:space="preserve"> project</w:t>
      </w:r>
      <w:r w:rsidR="00082239" w:rsidRPr="000F2787">
        <w:rPr>
          <w:rFonts w:cs="Times New Roman"/>
          <w:szCs w:val="24"/>
        </w:rPr>
        <w:t>s</w:t>
      </w:r>
      <w:r w:rsidR="00D177BD" w:rsidRPr="000F2787">
        <w:rPr>
          <w:rFonts w:cs="Times New Roman"/>
          <w:szCs w:val="24"/>
        </w:rPr>
        <w:t xml:space="preserve"> the relative </w:t>
      </w:r>
      <w:r w:rsidR="00082239" w:rsidRPr="000F2787">
        <w:rPr>
          <w:rFonts w:cs="Times New Roman"/>
          <w:szCs w:val="24"/>
        </w:rPr>
        <w:t>genera abundance for each sample</w:t>
      </w:r>
      <w:r w:rsidR="00D177BD" w:rsidRPr="000F2787">
        <w:rPr>
          <w:rFonts w:cs="Times New Roman"/>
          <w:szCs w:val="24"/>
        </w:rPr>
        <w:t xml:space="preserve"> </w:t>
      </w:r>
      <w:r w:rsidR="00082239" w:rsidRPr="000F2787">
        <w:rPr>
          <w:rFonts w:cs="Times New Roman"/>
          <w:szCs w:val="24"/>
        </w:rPr>
        <w:t>on</w:t>
      </w:r>
      <w:r w:rsidR="00D177BD" w:rsidRPr="000F2787">
        <w:rPr>
          <w:rFonts w:cs="Times New Roman"/>
          <w:szCs w:val="24"/>
        </w:rPr>
        <w:t xml:space="preserve"> a two-dimensional space, where samples with more similar microbial compositions are brought closer together, and those with dissimilar compositions further apart.</w:t>
      </w:r>
      <w:r w:rsidR="00082239" w:rsidRPr="000F2787">
        <w:rPr>
          <w:rFonts w:cs="Times New Roman"/>
          <w:szCs w:val="24"/>
        </w:rPr>
        <w:t xml:space="preserve"> Echoing the results of the PCoA, blood samples could be spatially separated from the negative controls (</w:t>
      </w:r>
      <w:r w:rsidR="00082239" w:rsidRPr="000F2787">
        <w:rPr>
          <w:rFonts w:cs="Times New Roman"/>
          <w:b/>
          <w:bCs/>
          <w:szCs w:val="24"/>
        </w:rPr>
        <w:t>Figure 2d</w:t>
      </w:r>
      <w:r w:rsidR="00082239" w:rsidRPr="000F2787">
        <w:rPr>
          <w:rFonts w:cs="Times New Roman"/>
          <w:szCs w:val="24"/>
        </w:rPr>
        <w:t>)</w:t>
      </w:r>
      <w:r w:rsidR="009172D7" w:rsidRPr="000F2787">
        <w:rPr>
          <w:rFonts w:cs="Times New Roman"/>
          <w:szCs w:val="24"/>
        </w:rPr>
        <w:t xml:space="preserve">. The results of the two analyses collectively </w:t>
      </w:r>
      <w:r w:rsidR="00082239" w:rsidRPr="000F2787">
        <w:rPr>
          <w:rFonts w:cs="Times New Roman"/>
          <w:szCs w:val="24"/>
        </w:rPr>
        <w:t xml:space="preserve">suggest that the two sample types have distinct microbial compositions. Interestingly, </w:t>
      </w:r>
      <w:r w:rsidR="00177635" w:rsidRPr="000F2787">
        <w:rPr>
          <w:rFonts w:cs="Times New Roman"/>
          <w:szCs w:val="24"/>
        </w:rPr>
        <w:t xml:space="preserve">the blood samples appear to form </w:t>
      </w:r>
      <w:r w:rsidR="00DA32AF" w:rsidRPr="000F2787">
        <w:rPr>
          <w:rFonts w:cs="Times New Roman"/>
          <w:szCs w:val="24"/>
        </w:rPr>
        <w:t>more than one cluster</w:t>
      </w:r>
      <w:r w:rsidR="00177635" w:rsidRPr="000F2787">
        <w:rPr>
          <w:rFonts w:cs="Times New Roman"/>
          <w:szCs w:val="24"/>
        </w:rPr>
        <w:t xml:space="preserve"> </w:t>
      </w:r>
      <w:r w:rsidR="00B1317C" w:rsidRPr="000F2787">
        <w:rPr>
          <w:rFonts w:cs="Times New Roman"/>
          <w:szCs w:val="24"/>
        </w:rPr>
        <w:t>on</w:t>
      </w:r>
      <w:r w:rsidR="00177635" w:rsidRPr="000F2787">
        <w:rPr>
          <w:rFonts w:cs="Times New Roman"/>
          <w:szCs w:val="24"/>
        </w:rPr>
        <w:t xml:space="preserve"> the </w:t>
      </w:r>
      <w:r w:rsidR="00177635" w:rsidRPr="000F2787">
        <w:rPr>
          <w:rFonts w:cs="Times New Roman"/>
          <w:i/>
          <w:iCs/>
          <w:szCs w:val="24"/>
        </w:rPr>
        <w:t>t</w:t>
      </w:r>
      <w:r w:rsidR="00177635" w:rsidRPr="000F2787">
        <w:rPr>
          <w:rFonts w:cs="Times New Roman"/>
          <w:szCs w:val="24"/>
        </w:rPr>
        <w:t>-SNE projection (</w:t>
      </w:r>
      <w:r w:rsidR="00177635" w:rsidRPr="000F2787">
        <w:rPr>
          <w:rFonts w:cs="Times New Roman"/>
          <w:b/>
          <w:bCs/>
          <w:szCs w:val="24"/>
        </w:rPr>
        <w:t>Figure 2d</w:t>
      </w:r>
      <w:r w:rsidR="00177635" w:rsidRPr="000F2787">
        <w:rPr>
          <w:rFonts w:cs="Times New Roman"/>
          <w:szCs w:val="24"/>
        </w:rPr>
        <w:t>)</w:t>
      </w:r>
      <w:r w:rsidR="00D05B71" w:rsidRPr="000F2787">
        <w:rPr>
          <w:rFonts w:cs="Times New Roman"/>
          <w:szCs w:val="24"/>
        </w:rPr>
        <w:t xml:space="preserve">. </w:t>
      </w:r>
      <w:r w:rsidR="00D05B71" w:rsidRPr="000F2787">
        <w:rPr>
          <w:rFonts w:cs="Times New Roman"/>
          <w:i/>
          <w:iCs/>
          <w:szCs w:val="24"/>
        </w:rPr>
        <w:t>k</w:t>
      </w:r>
      <w:r w:rsidR="00D05B71" w:rsidRPr="000F2787">
        <w:rPr>
          <w:rFonts w:cs="Times New Roman"/>
          <w:szCs w:val="24"/>
        </w:rPr>
        <w:t>-mean</w:t>
      </w:r>
      <w:r w:rsidR="00F61004" w:rsidRPr="000F2787">
        <w:rPr>
          <w:rFonts w:cs="Times New Roman"/>
          <w:szCs w:val="24"/>
        </w:rPr>
        <w:t>s</w:t>
      </w:r>
      <w:r w:rsidR="00D05B71" w:rsidRPr="000F2787">
        <w:rPr>
          <w:rFonts w:cs="Times New Roman"/>
          <w:szCs w:val="24"/>
        </w:rPr>
        <w:t xml:space="preserve"> clustering</w:t>
      </w:r>
      <w:r w:rsidR="00F61004" w:rsidRPr="000F2787">
        <w:rPr>
          <w:rFonts w:cs="Times New Roman"/>
          <w:szCs w:val="24"/>
        </w:rPr>
        <w:t>, which can classify samples with similar</w:t>
      </w:r>
      <w:r w:rsidR="00D05B71" w:rsidRPr="000F2787">
        <w:rPr>
          <w:rFonts w:cs="Times New Roman"/>
          <w:szCs w:val="24"/>
        </w:rPr>
        <w:t xml:space="preserve"> </w:t>
      </w:r>
      <w:r w:rsidR="00DA32AF" w:rsidRPr="000F2787">
        <w:rPr>
          <w:rFonts w:cs="Times New Roman"/>
          <w:szCs w:val="24"/>
        </w:rPr>
        <w:t>microbial compositions</w:t>
      </w:r>
      <w:r w:rsidR="00F61004" w:rsidRPr="000F2787">
        <w:rPr>
          <w:rFonts w:cs="Times New Roman"/>
          <w:szCs w:val="24"/>
        </w:rPr>
        <w:t xml:space="preserve"> into groups, confirmed that</w:t>
      </w:r>
      <w:r w:rsidR="00DA32AF" w:rsidRPr="000F2787">
        <w:rPr>
          <w:rFonts w:cs="Times New Roman"/>
          <w:szCs w:val="24"/>
        </w:rPr>
        <w:t xml:space="preserve"> </w:t>
      </w:r>
      <w:r w:rsidR="00D05B71" w:rsidRPr="000F2787">
        <w:rPr>
          <w:rFonts w:cs="Times New Roman"/>
          <w:szCs w:val="24"/>
        </w:rPr>
        <w:t xml:space="preserve">blood samples </w:t>
      </w:r>
      <w:r w:rsidR="006946AE" w:rsidRPr="000F2787">
        <w:rPr>
          <w:rFonts w:cs="Times New Roman"/>
          <w:szCs w:val="24"/>
        </w:rPr>
        <w:t>could be classified into two groups</w:t>
      </w:r>
      <w:r w:rsidR="00D05B71" w:rsidRPr="000F2787">
        <w:rPr>
          <w:rFonts w:cs="Times New Roman"/>
          <w:szCs w:val="24"/>
        </w:rPr>
        <w:t xml:space="preserve">, in addition </w:t>
      </w:r>
      <w:r w:rsidR="006946AE" w:rsidRPr="000F2787">
        <w:rPr>
          <w:rFonts w:cs="Times New Roman"/>
          <w:szCs w:val="24"/>
        </w:rPr>
        <w:t>to a separate negative control group</w:t>
      </w:r>
      <w:r w:rsidR="00D05B71" w:rsidRPr="000F2787">
        <w:rPr>
          <w:rFonts w:cs="Times New Roman"/>
          <w:szCs w:val="24"/>
        </w:rPr>
        <w:t>.</w:t>
      </w:r>
      <w:r w:rsidR="000F2787" w:rsidRPr="000F2787">
        <w:rPr>
          <w:rFonts w:cs="Times New Roman"/>
          <w:szCs w:val="24"/>
        </w:rPr>
        <w:t xml:space="preserve"> </w:t>
      </w:r>
      <w:r w:rsidR="00436127">
        <w:rPr>
          <w:lang w:val="en-GB"/>
        </w:rPr>
        <w:t xml:space="preserve">The agreement of both </w:t>
      </w:r>
      <w:r w:rsidR="00436127" w:rsidRPr="007E4E32">
        <w:rPr>
          <w:i/>
          <w:iCs/>
          <w:lang w:val="en-GB"/>
        </w:rPr>
        <w:t>t</w:t>
      </w:r>
      <w:r w:rsidR="00436127">
        <w:rPr>
          <w:lang w:val="en-GB"/>
        </w:rPr>
        <w:t xml:space="preserve">-SNE and </w:t>
      </w:r>
      <w:r w:rsidR="00436127" w:rsidRPr="007E4E32">
        <w:rPr>
          <w:i/>
          <w:iCs/>
          <w:lang w:val="en-GB"/>
        </w:rPr>
        <w:t>k</w:t>
      </w:r>
      <w:r w:rsidR="00436127">
        <w:rPr>
          <w:lang w:val="en-GB"/>
        </w:rPr>
        <w:t xml:space="preserve">-means clustering indicates that this observation is not likely to be an artifact of the computational methods used. </w:t>
      </w:r>
      <w:r w:rsidR="00E5075B">
        <w:rPr>
          <w:lang w:val="en-GB"/>
        </w:rPr>
        <w:t>This finding</w:t>
      </w:r>
      <w:r w:rsidR="00436127">
        <w:rPr>
          <w:rFonts w:cs="Times New Roman"/>
          <w:szCs w:val="24"/>
        </w:rPr>
        <w:t xml:space="preserve"> suggests</w:t>
      </w:r>
      <w:r w:rsidR="006D0CE9">
        <w:rPr>
          <w:rFonts w:cs="Times New Roman"/>
          <w:szCs w:val="24"/>
        </w:rPr>
        <w:t xml:space="preserve"> that the hypothetical healthy blood microbiome may </w:t>
      </w:r>
      <w:r w:rsidR="00D41ED4">
        <w:rPr>
          <w:rFonts w:cs="Times New Roman"/>
          <w:szCs w:val="24"/>
        </w:rPr>
        <w:t>be categorised into different</w:t>
      </w:r>
      <w:r w:rsidR="006D0CE9">
        <w:rPr>
          <w:rFonts w:cs="Times New Roman"/>
          <w:szCs w:val="24"/>
        </w:rPr>
        <w:t xml:space="preserve"> subtypes</w:t>
      </w:r>
      <w:r w:rsidR="00535432">
        <w:rPr>
          <w:rFonts w:cs="Times New Roman"/>
          <w:szCs w:val="24"/>
        </w:rPr>
        <w:t xml:space="preserve">, where each subtype harbours a </w:t>
      </w:r>
      <w:r w:rsidR="00B83B6F">
        <w:rPr>
          <w:rFonts w:cs="Times New Roman"/>
          <w:szCs w:val="24"/>
        </w:rPr>
        <w:t xml:space="preserve">signature </w:t>
      </w:r>
      <w:r w:rsidR="00535432">
        <w:rPr>
          <w:rFonts w:cs="Times New Roman"/>
          <w:szCs w:val="24"/>
        </w:rPr>
        <w:t xml:space="preserve">microbial </w:t>
      </w:r>
      <w:r w:rsidR="00B83B6F">
        <w:rPr>
          <w:rFonts w:cs="Times New Roman"/>
          <w:szCs w:val="24"/>
        </w:rPr>
        <w:t>composition</w:t>
      </w:r>
      <w:r w:rsidR="006D0CE9">
        <w:rPr>
          <w:rFonts w:cs="Times New Roman"/>
          <w:szCs w:val="24"/>
        </w:rPr>
        <w:t xml:space="preserve">. </w:t>
      </w:r>
    </w:p>
    <w:p w14:paraId="0353D505" w14:textId="6D1F0FA3" w:rsidR="002014AD" w:rsidRPr="000F2787" w:rsidRDefault="000F2787" w:rsidP="00AE0FE8">
      <w:pPr>
        <w:rPr>
          <w:rFonts w:cs="Times New Roman"/>
          <w:szCs w:val="24"/>
        </w:rPr>
      </w:pPr>
      <w:r w:rsidRPr="000F2787">
        <w:rPr>
          <w:rFonts w:cs="Times New Roman"/>
          <w:szCs w:val="24"/>
        </w:rPr>
        <w:lastRenderedPageBreak/>
        <w:t xml:space="preserve">Taken together, the results indicate that the number and composition of microbial genera </w:t>
      </w:r>
      <w:r>
        <w:rPr>
          <w:rFonts w:cs="Times New Roman"/>
          <w:szCs w:val="24"/>
        </w:rPr>
        <w:t>in</w:t>
      </w:r>
      <w:r w:rsidRPr="000F2787">
        <w:rPr>
          <w:rFonts w:cs="Times New Roman"/>
          <w:szCs w:val="24"/>
        </w:rPr>
        <w:t xml:space="preserve"> blood samples can be distinguished fr</w:t>
      </w:r>
      <w:r>
        <w:rPr>
          <w:rFonts w:cs="Times New Roman"/>
          <w:szCs w:val="24"/>
        </w:rPr>
        <w:t>o</w:t>
      </w:r>
      <w:r w:rsidRPr="000F2787">
        <w:rPr>
          <w:rFonts w:cs="Times New Roman"/>
          <w:szCs w:val="24"/>
        </w:rPr>
        <w:t xml:space="preserve">m that </w:t>
      </w:r>
      <w:r>
        <w:rPr>
          <w:rFonts w:cs="Times New Roman"/>
          <w:szCs w:val="24"/>
        </w:rPr>
        <w:t xml:space="preserve">in the negative controls. This implies that the microbial sequences in blood are not solely due to contamination from sequencing reagents, suggesting the presence of DNA from potentially viable bacteria in healthy human blood. </w:t>
      </w:r>
    </w:p>
    <w:p w14:paraId="643DF88C" w14:textId="15AC0072" w:rsidR="00316E2A" w:rsidRDefault="004F3BFC" w:rsidP="00BC2AC9">
      <w:pPr>
        <w:spacing w:after="0"/>
        <w:rPr>
          <w:noProof/>
        </w:rPr>
      </w:pPr>
      <w:r w:rsidRPr="004F3BFC">
        <w:rPr>
          <w:noProof/>
        </w:rPr>
        <w:t xml:space="preserve">   </w:t>
      </w:r>
      <w:r w:rsidR="00F50255" w:rsidRPr="00F50255">
        <w:rPr>
          <w:noProof/>
        </w:rPr>
        <w:drawing>
          <wp:inline distT="0" distB="0" distL="0" distR="0" wp14:anchorId="0299C047" wp14:editId="1766C5B4">
            <wp:extent cx="5943600" cy="49530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4953000"/>
                    </a:xfrm>
                    <a:prstGeom prst="rect">
                      <a:avLst/>
                    </a:prstGeom>
                  </pic:spPr>
                </pic:pic>
              </a:graphicData>
            </a:graphic>
          </wp:inline>
        </w:drawing>
      </w:r>
    </w:p>
    <w:p w14:paraId="04791DBE" w14:textId="7BA7A218" w:rsidR="00FB14BB" w:rsidRPr="006C7246" w:rsidRDefault="0099682E" w:rsidP="006C7246">
      <w:pPr>
        <w:spacing w:line="276" w:lineRule="auto"/>
        <w:rPr>
          <w:noProof/>
          <w:sz w:val="22"/>
          <w:szCs w:val="20"/>
        </w:rPr>
      </w:pPr>
      <w:r w:rsidRPr="006C7246">
        <w:rPr>
          <w:b/>
          <w:bCs/>
          <w:sz w:val="22"/>
          <w:szCs w:val="20"/>
        </w:rPr>
        <w:t>Figure 2. Microbial composition and diversity of healthy blood and negative controls.</w:t>
      </w:r>
      <w:r w:rsidRPr="006C7246">
        <w:rPr>
          <w:sz w:val="22"/>
          <w:szCs w:val="20"/>
        </w:rPr>
        <w:t xml:space="preserve"> (a) Relative abundance of the eight most abundant genera (ranked by their median values across all samples) are visualised in a stacked bar-plot. </w:t>
      </w:r>
      <w:r w:rsidR="00701657" w:rsidRPr="006C7246">
        <w:rPr>
          <w:sz w:val="22"/>
          <w:szCs w:val="20"/>
        </w:rPr>
        <w:t xml:space="preserve">(b) </w:t>
      </w:r>
      <w:r w:rsidR="002014AD" w:rsidRPr="006C7246">
        <w:rPr>
          <w:sz w:val="22"/>
          <w:szCs w:val="20"/>
        </w:rPr>
        <w:t>Rarefaction plots of genus richness and Shannon</w:t>
      </w:r>
      <w:r w:rsidR="00F77848" w:rsidRPr="006C7246">
        <w:rPr>
          <w:sz w:val="22"/>
          <w:szCs w:val="20"/>
        </w:rPr>
        <w:t xml:space="preserve"> index. </w:t>
      </w:r>
      <w:r w:rsidR="00701657" w:rsidRPr="006C7246">
        <w:rPr>
          <w:sz w:val="22"/>
          <w:szCs w:val="20"/>
        </w:rPr>
        <w:t xml:space="preserve"> (c) </w:t>
      </w:r>
      <w:r w:rsidR="00F50255" w:rsidRPr="006C7246">
        <w:rPr>
          <w:sz w:val="22"/>
          <w:szCs w:val="20"/>
        </w:rPr>
        <w:t>Upper panel: PCoA plot of all samples on the first two PCo axes.</w:t>
      </w:r>
      <w:r w:rsidR="00C77229" w:rsidRPr="006C7246">
        <w:rPr>
          <w:sz w:val="22"/>
          <w:szCs w:val="20"/>
        </w:rPr>
        <w:t xml:space="preserve"> Each point represents a single sample after ordination using PCoA.</w:t>
      </w:r>
      <w:r w:rsidR="00F50255" w:rsidRPr="006C7246">
        <w:rPr>
          <w:sz w:val="22"/>
          <w:szCs w:val="20"/>
        </w:rPr>
        <w:t xml:space="preserve"> Lower panel: Percentage of variance explained by each PCo axis. </w:t>
      </w:r>
      <w:r w:rsidR="00701657" w:rsidRPr="006C7246">
        <w:rPr>
          <w:sz w:val="22"/>
          <w:szCs w:val="20"/>
        </w:rPr>
        <w:t xml:space="preserve">(d) </w:t>
      </w:r>
      <w:r w:rsidR="00F50255" w:rsidRPr="006C7246">
        <w:rPr>
          <w:i/>
          <w:iCs/>
          <w:sz w:val="22"/>
          <w:szCs w:val="20"/>
        </w:rPr>
        <w:t>t-</w:t>
      </w:r>
      <w:r w:rsidR="00F50255" w:rsidRPr="006C7246">
        <w:rPr>
          <w:sz w:val="22"/>
          <w:szCs w:val="20"/>
        </w:rPr>
        <w:t xml:space="preserve">SNE plot projecting the relative genera abundance of samples on a two-dimensional space. </w:t>
      </w:r>
      <w:r w:rsidR="00701657" w:rsidRPr="006C7246">
        <w:rPr>
          <w:noProof/>
          <w:sz w:val="22"/>
          <w:szCs w:val="20"/>
        </w:rPr>
        <w:t xml:space="preserve">Each point </w:t>
      </w:r>
      <w:r w:rsidR="00F50255" w:rsidRPr="006C7246">
        <w:rPr>
          <w:noProof/>
          <w:sz w:val="22"/>
          <w:szCs w:val="20"/>
        </w:rPr>
        <w:t>represents</w:t>
      </w:r>
      <w:r w:rsidR="00701657" w:rsidRPr="006C7246">
        <w:rPr>
          <w:noProof/>
          <w:sz w:val="22"/>
          <w:szCs w:val="20"/>
        </w:rPr>
        <w:t xml:space="preserve"> </w:t>
      </w:r>
      <w:r w:rsidR="00F50255" w:rsidRPr="006C7246">
        <w:rPr>
          <w:noProof/>
          <w:sz w:val="22"/>
          <w:szCs w:val="20"/>
        </w:rPr>
        <w:t>a single</w:t>
      </w:r>
      <w:r w:rsidR="00701657" w:rsidRPr="006C7246">
        <w:rPr>
          <w:noProof/>
          <w:sz w:val="22"/>
          <w:szCs w:val="20"/>
        </w:rPr>
        <w:t xml:space="preserve"> sample after </w:t>
      </w:r>
      <w:r w:rsidR="00C77229" w:rsidRPr="006C7246">
        <w:rPr>
          <w:noProof/>
          <w:sz w:val="22"/>
          <w:szCs w:val="20"/>
        </w:rPr>
        <w:t>ordination</w:t>
      </w:r>
      <w:r w:rsidR="00701657" w:rsidRPr="006C7246">
        <w:rPr>
          <w:noProof/>
          <w:sz w:val="22"/>
          <w:szCs w:val="20"/>
        </w:rPr>
        <w:t xml:space="preserve"> using </w:t>
      </w:r>
      <w:r w:rsidR="00701657" w:rsidRPr="006C7246">
        <w:rPr>
          <w:i/>
          <w:iCs/>
          <w:noProof/>
          <w:sz w:val="22"/>
          <w:szCs w:val="20"/>
        </w:rPr>
        <w:t>t</w:t>
      </w:r>
      <w:r w:rsidR="00701657" w:rsidRPr="006C7246">
        <w:rPr>
          <w:noProof/>
          <w:sz w:val="22"/>
          <w:szCs w:val="20"/>
        </w:rPr>
        <w:t xml:space="preserve">-SNE. The shape of each point represents the clusters identified using the </w:t>
      </w:r>
      <w:r w:rsidR="00701657" w:rsidRPr="006C7246">
        <w:rPr>
          <w:i/>
          <w:iCs/>
          <w:noProof/>
          <w:sz w:val="22"/>
          <w:szCs w:val="20"/>
        </w:rPr>
        <w:t>k</w:t>
      </w:r>
      <w:r w:rsidR="00701657" w:rsidRPr="006C7246">
        <w:rPr>
          <w:noProof/>
          <w:sz w:val="22"/>
          <w:szCs w:val="20"/>
        </w:rPr>
        <w:t>-means clustering algorithm.</w:t>
      </w:r>
    </w:p>
    <w:p w14:paraId="566D1229" w14:textId="293361B0" w:rsidR="00BC2AC9" w:rsidRDefault="005B4D36" w:rsidP="00427821">
      <w:pPr>
        <w:pStyle w:val="Heading2"/>
        <w:rPr>
          <w:lang w:val="en-GB"/>
        </w:rPr>
      </w:pPr>
      <w:r>
        <w:rPr>
          <w:lang w:val="en-GB"/>
        </w:rPr>
        <w:lastRenderedPageBreak/>
        <w:t xml:space="preserve">Candidate members </w:t>
      </w:r>
      <w:r w:rsidR="00F61004">
        <w:rPr>
          <w:lang w:val="en-GB"/>
        </w:rPr>
        <w:t>of</w:t>
      </w:r>
      <w:r>
        <w:rPr>
          <w:lang w:val="en-GB"/>
        </w:rPr>
        <w:t xml:space="preserve"> the human blood microbiome</w:t>
      </w:r>
    </w:p>
    <w:p w14:paraId="09EE60C9" w14:textId="70889089" w:rsidR="005B4D36" w:rsidRDefault="004A0520" w:rsidP="00BC2AC9">
      <w:pPr>
        <w:spacing w:after="0"/>
      </w:pPr>
      <w:r>
        <w:t>Since all samples were processed and sequenced in the same batch, t</w:t>
      </w:r>
      <w:r w:rsidR="00D77212">
        <w:t xml:space="preserve">he </w:t>
      </w:r>
      <w:r w:rsidR="00FB14BB">
        <w:t xml:space="preserve">taxonomic assignments for the negative controls </w:t>
      </w:r>
      <w:r>
        <w:t>could be used</w:t>
      </w:r>
      <w:r w:rsidR="00FB14BB">
        <w:t xml:space="preserve"> </w:t>
      </w:r>
      <w:r w:rsidR="00D77212">
        <w:t xml:space="preserve">to identify potential </w:t>
      </w:r>
      <w:r w:rsidR="006A1DD6">
        <w:t>microbiome-associated</w:t>
      </w:r>
      <w:r w:rsidR="0025066F">
        <w:t xml:space="preserve"> genera while </w:t>
      </w:r>
      <w:r w:rsidR="00D77212">
        <w:t>excluding</w:t>
      </w:r>
      <w:r w:rsidR="0025066F">
        <w:t xml:space="preserve"> </w:t>
      </w:r>
      <w:r w:rsidR="00FB14BB">
        <w:t xml:space="preserve">putative contaminants. Firstly, </w:t>
      </w:r>
      <w:r w:rsidR="005B4D36">
        <w:t xml:space="preserve">seven genera were found in all blood samples, </w:t>
      </w:r>
      <w:r w:rsidR="00FB14BB">
        <w:t>but</w:t>
      </w:r>
      <w:r w:rsidR="005B4D36">
        <w:t xml:space="preserve"> absent in at least one negative control (</w:t>
      </w:r>
      <w:r w:rsidR="005B4D36" w:rsidRPr="003B6FD2">
        <w:rPr>
          <w:b/>
          <w:bCs/>
        </w:rPr>
        <w:t xml:space="preserve">Figure </w:t>
      </w:r>
      <w:r w:rsidR="00FB14BB">
        <w:rPr>
          <w:b/>
          <w:bCs/>
        </w:rPr>
        <w:t>3</w:t>
      </w:r>
      <w:r>
        <w:rPr>
          <w:b/>
          <w:bCs/>
        </w:rPr>
        <w:t>a</w:t>
      </w:r>
      <w:r w:rsidR="005B4D36">
        <w:t>).</w:t>
      </w:r>
      <w:r w:rsidR="00286CF0">
        <w:t xml:space="preserve"> Species within these genera present</w:t>
      </w:r>
      <w:r w:rsidR="004843FD">
        <w:t xml:space="preserve"> as</w:t>
      </w:r>
      <w:r w:rsidR="00286CF0">
        <w:t xml:space="preserve"> </w:t>
      </w:r>
      <w:r w:rsidR="004843FD">
        <w:t>preliminary targets</w:t>
      </w:r>
      <w:r w:rsidR="00286CF0">
        <w:t xml:space="preserve"> for</w:t>
      </w:r>
      <w:r w:rsidR="004843FD">
        <w:t xml:space="preserve"> members of the</w:t>
      </w:r>
      <w:r w:rsidR="00286CF0">
        <w:t xml:space="preserve"> blood microbiome. </w:t>
      </w:r>
      <w:r w:rsidR="00267882">
        <w:t xml:space="preserve">Notably, </w:t>
      </w:r>
      <w:r w:rsidR="0051722E">
        <w:t>some genera are present in all samples, but may also be part of the human blood microbiome. One way to determine whether such genera are microbiome-associated or contaminants is to compare the</w:t>
      </w:r>
      <w:r w:rsidR="0007277C">
        <w:t>ir relative abundance in blood and in controls</w:t>
      </w:r>
      <w:r w:rsidR="00CB603D">
        <w:t xml:space="preserve"> </w:t>
      </w:r>
      <w:r w:rsidR="00CB603D">
        <w:fldChar w:fldCharType="begin" w:fldLock="1"/>
      </w:r>
      <w:r w:rsidR="004A15A1">
        <w:instrText>ADDIN CSL_CITATION {"citationItems":[{"id":"ITEM-1","itemData":{"ISSN":"1741-7007","author":[{"dropping-particle":"","family":"Salter","given":"Susannah J","non-dropping-particle":"","parse-names":false,"suffix":""},{"dropping-particle":"","family":"Cox","given":"Michael J","non-dropping-particle":"","parse-names":false,"suffix":""},{"dropping-particle":"","family":"Turek","given":"Elena M","non-dropping-particle":"","parse-names":false,"suffix":""},{"dropping-particle":"","family":"Calus","given":"Szymon T","non-dropping-particle":"","parse-names":false,"suffix":""},{"dropping-particle":"","family":"Cookson","given":"William O","non-dropping-particle":"","parse-names":false,"suffix":""},{"dropping-particle":"","family":"Moffatt","given":"Miriam F","non-dropping-particle":"","parse-names":false,"suffix":""},{"dropping-particle":"","family":"Turner","given":"Paul","non-dropping-particle":"","parse-names":false,"suffix":""},{"dropping-particle":"","family":"Parkhill","given":"Julian","non-dropping-particle":"","parse-names":false,"suffix":""},{"dropping-particle":"","family":"Loman","given":"Nicholas J","non-dropping-particle":"","parse-names":false,"suffix":""},{"dropping-particle":"","family":"Walker","given":"Alan W","non-dropping-particle":"","parse-names":false,"suffix":""}],"container-title":"BMC biology","id":"ITEM-1","issue":"1","issued":{"date-parts":[["2014"]]},"page":"87","publisher":"Springer","title":"Reagent and laboratory contamination can critically impact sequence-based microbiome analyses","type":"article-journal","volume":"12"},"uris":["http://www.mendeley.com/documents/?uuid=334bc940-ca23-40a2-a499-ffeebb28311a"]}],"mendeley":{"formattedCitation":"(Salter &lt;i&gt;et al.&lt;/i&gt;, 2014)","plainTextFormattedCitation":"(Salter et al., 2014)","previouslyFormattedCitation":"(Salter &lt;i&gt;et al.&lt;/i&gt;, 2014)"},"properties":{"noteIndex":0},"schema":"https://github.com/citation-style-language/schema/raw/master/csl-citation.json"}</w:instrText>
      </w:r>
      <w:r w:rsidR="00CB603D">
        <w:fldChar w:fldCharType="separate"/>
      </w:r>
      <w:r w:rsidR="00CB603D" w:rsidRPr="00CB603D">
        <w:rPr>
          <w:noProof/>
        </w:rPr>
        <w:t xml:space="preserve">(Salter </w:t>
      </w:r>
      <w:r w:rsidR="00CB603D" w:rsidRPr="00CB603D">
        <w:rPr>
          <w:i/>
          <w:noProof/>
        </w:rPr>
        <w:t>et al.</w:t>
      </w:r>
      <w:r w:rsidR="00CB603D" w:rsidRPr="00CB603D">
        <w:rPr>
          <w:noProof/>
        </w:rPr>
        <w:t>, 2014)</w:t>
      </w:r>
      <w:r w:rsidR="00CB603D">
        <w:fldChar w:fldCharType="end"/>
      </w:r>
      <w:r w:rsidR="0007277C">
        <w:t>.</w:t>
      </w:r>
      <w:r w:rsidR="003F165C">
        <w:t xml:space="preserve"> </w:t>
      </w:r>
      <w:r w:rsidR="001903E6">
        <w:t>This is because taxa that are present in a true microbial community are</w:t>
      </w:r>
      <w:r w:rsidR="00824461">
        <w:t xml:space="preserve"> likely to be</w:t>
      </w:r>
      <w:r w:rsidR="001903E6">
        <w:t xml:space="preserve"> highly abundant in </w:t>
      </w:r>
      <w:r w:rsidR="00E26570">
        <w:t xml:space="preserve">microbiome </w:t>
      </w:r>
      <w:r w:rsidR="001903E6">
        <w:t>samples and less abundant in negative controls.</w:t>
      </w:r>
      <w:r w:rsidR="00824461">
        <w:t xml:space="preserve"> Conversely, contaminant taxa are likely to be highly abundant in controls but not in samples.</w:t>
      </w:r>
      <w:r w:rsidR="001903E6">
        <w:t xml:space="preserve"> Therefore, the measured </w:t>
      </w:r>
      <w:r w:rsidR="00CB603D">
        <w:t>relative abundance of</w:t>
      </w:r>
      <w:r w:rsidR="001903E6">
        <w:t xml:space="preserve"> taxa is a good proxy for selecting candidate members of the human blood microbiome</w:t>
      </w:r>
      <w:r w:rsidR="001C476C">
        <w:t>.</w:t>
      </w:r>
      <w:r w:rsidR="0007277C">
        <w:t xml:space="preserve"> </w:t>
      </w:r>
      <w:r w:rsidR="002665B9">
        <w:t xml:space="preserve">However, </w:t>
      </w:r>
      <w:r w:rsidR="004A15A1">
        <w:t>if there is a microbial community in blood, blood samples should have a higher microbial load than</w:t>
      </w:r>
      <w:r w:rsidR="007418EF">
        <w:t xml:space="preserve"> </w:t>
      </w:r>
      <w:r w:rsidR="004A15A1">
        <w:t>negative controls. This diffe</w:t>
      </w:r>
      <w:r w:rsidR="007418EF">
        <w:t>ring</w:t>
      </w:r>
      <w:r w:rsidR="004A15A1">
        <w:t xml:space="preserve"> microbial load is known to confound comparisons of relative abundance </w:t>
      </w:r>
      <w:r w:rsidR="004A15A1">
        <w:fldChar w:fldCharType="begin" w:fldLock="1"/>
      </w:r>
      <w:r w:rsidR="009D4340">
        <w:instrText>ADDIN CSL_CITATION {"citationItems":[{"id":"ITEM-1","itemData":{"DOI":"10.1038/s41467-019-10656-5","ISSN":"2041-1723","abstract":"Differential abundance analysis is controversial throughout microbiome research. Gold standard approaches require laborious measurements of total microbial load, or absolute number of microorganisms, to accurately determine taxonomic shifts. Therefore, most studies rely on relative abundance data. Here, we demonstrate common pitfalls in comparing relative abundance across samples and identify two solutions that reveal microbial changes without the need to estimate total microbial load. We define the notion of “reference frames”, which provide deep intuition about the compositional nature of microbiome data. In an oral time series experiment, reference frames alleviate false positives and produce consistent results on both raw and cell-count normalized data. Furthermore, reference frames identify consistent, differentially abundant microbes previously undetected in two independent published datasets from subjects with atopic dermatitis. These methods allow reassessment of published relative abundance data to reveal reproducible microbial changes from standard sequencing output without the need for new assays.","author":[{"dropping-particle":"","family":"Morton","given":"James T","non-dropping-particle":"","parse-names":false,"suffix":""},{"dropping-particle":"","family":"Marotz","given":"Clarisse","non-dropping-particle":"","parse-names":false,"suffix":""},{"dropping-particle":"","family":"Washburne","given":"Alex","non-dropping-particle":"","parse-names":false,"suffix":""},{"dropping-particle":"","family":"Silverman","given":"Justin","non-dropping-particle":"","parse-names":false,"suffix":""},{"dropping-particle":"","family":"Zaramela","given":"Livia S","non-dropping-particle":"","parse-names":false,"suffix":""},{"dropping-particle":"","family":"Edlund","given":"Anna","non-dropping-particle":"","parse-names":false,"suffix":""},{"dropping-particle":"","family":"Zengler","given":"Karsten","non-dropping-particle":"","parse-names":false,"suffix":""},{"dropping-particle":"","family":"Knight","given":"Rob","non-dropping-particle":"","parse-names":false,"suffix":""}],"container-title":"Nature Communications","id":"ITEM-1","issue":"1","issued":{"date-parts":[["2019"]]},"page":"2719","title":"Establishing microbial composition measurement standards with reference frames","type":"article-journal","volume":"10"},"uris":["http://www.mendeley.com/documents/?uuid=42d4c6c5-1d5e-40d1-bda6-a751c2c26faf"]}],"mendeley":{"formattedCitation":"(Morton &lt;i&gt;et al.&lt;/i&gt;, 2019)","plainTextFormattedCitation":"(Morton et al., 2019)","previouslyFormattedCitation":"(Morton &lt;i&gt;et al.&lt;/i&gt;, 2019)"},"properties":{"noteIndex":0},"schema":"https://github.com/citation-style-language/schema/raw/master/csl-citation.json"}</w:instrText>
      </w:r>
      <w:r w:rsidR="004A15A1">
        <w:fldChar w:fldCharType="separate"/>
      </w:r>
      <w:r w:rsidR="004A15A1" w:rsidRPr="004A15A1">
        <w:rPr>
          <w:noProof/>
        </w:rPr>
        <w:t xml:space="preserve">(Morton </w:t>
      </w:r>
      <w:r w:rsidR="004A15A1" w:rsidRPr="004A15A1">
        <w:rPr>
          <w:i/>
          <w:noProof/>
        </w:rPr>
        <w:t>et al.</w:t>
      </w:r>
      <w:r w:rsidR="004A15A1" w:rsidRPr="004A15A1">
        <w:rPr>
          <w:noProof/>
        </w:rPr>
        <w:t>, 2019)</w:t>
      </w:r>
      <w:r w:rsidR="004A15A1">
        <w:fldChar w:fldCharType="end"/>
      </w:r>
      <w:r w:rsidR="004A15A1">
        <w:t>.</w:t>
      </w:r>
      <w:r w:rsidR="006D4A7B">
        <w:t xml:space="preserve"> </w:t>
      </w:r>
      <w:r w:rsidR="00D21D6A">
        <w:t>As such, relative differential abundance</w:t>
      </w:r>
      <w:r w:rsidR="00895E8D">
        <w:t xml:space="preserve"> (RDA)</w:t>
      </w:r>
      <w:r w:rsidR="00D21D6A">
        <w:t xml:space="preserve">, where the relative abundance of a particular taxon is normalised by a reference taxon in the same sample (see Methods), was compared. </w:t>
      </w:r>
      <w:r w:rsidR="00895E8D">
        <w:t xml:space="preserve">RDA controls for the differing microbial loads in samples when comparing relative abundances. </w:t>
      </w:r>
      <w:r w:rsidR="00D21D6A">
        <w:t xml:space="preserve">Using </w:t>
      </w:r>
      <w:r w:rsidR="00D21D6A" w:rsidRPr="00D21D6A">
        <w:rPr>
          <w:i/>
          <w:iCs/>
        </w:rPr>
        <w:t>Bradyrhizobium</w:t>
      </w:r>
      <w:r w:rsidR="00D21D6A">
        <w:t xml:space="preserve"> as the reference genus, the </w:t>
      </w:r>
      <w:r w:rsidR="00895E8D">
        <w:t>RDA</w:t>
      </w:r>
      <w:r w:rsidR="00D21D6A">
        <w:t xml:space="preserve"> of genera that were found in all samples were computed. </w:t>
      </w:r>
      <w:r w:rsidR="00895E8D">
        <w:t>Of the twelve genera that were present in all samples,</w:t>
      </w:r>
      <w:r w:rsidR="00837D76">
        <w:t xml:space="preserve"> only</w:t>
      </w:r>
      <w:r w:rsidR="00895E8D">
        <w:t xml:space="preserve"> </w:t>
      </w:r>
      <w:r w:rsidR="00895E8D" w:rsidRPr="00895E8D">
        <w:rPr>
          <w:i/>
          <w:iCs/>
        </w:rPr>
        <w:t>Bifidobacterium</w:t>
      </w:r>
      <w:r w:rsidR="00895E8D">
        <w:t xml:space="preserve">, </w:t>
      </w:r>
      <w:r w:rsidR="00895E8D" w:rsidRPr="00895E8D">
        <w:rPr>
          <w:i/>
          <w:iCs/>
        </w:rPr>
        <w:t>Lactobacillus</w:t>
      </w:r>
      <w:r w:rsidR="00895E8D">
        <w:t xml:space="preserve"> and </w:t>
      </w:r>
      <w:r w:rsidR="00895E8D" w:rsidRPr="00895E8D">
        <w:rPr>
          <w:i/>
          <w:iCs/>
        </w:rPr>
        <w:t>Escherichia-Shigella</w:t>
      </w:r>
      <w:r w:rsidR="00895E8D">
        <w:t xml:space="preserve"> </w:t>
      </w:r>
      <w:r w:rsidR="00837D76">
        <w:t xml:space="preserve">appeared to be more abundant in blood than in controls </w:t>
      </w:r>
      <w:r w:rsidR="00D21D6A">
        <w:t>(</w:t>
      </w:r>
      <w:r w:rsidR="00D21D6A" w:rsidRPr="00D21D6A">
        <w:rPr>
          <w:b/>
          <w:bCs/>
        </w:rPr>
        <w:t>Figure 3b</w:t>
      </w:r>
      <w:r w:rsidR="00D21D6A">
        <w:t xml:space="preserve">). </w:t>
      </w:r>
      <w:r w:rsidR="00837D76">
        <w:t xml:space="preserve">These genera are therefore candidate members of the human blood microbiome. </w:t>
      </w:r>
    </w:p>
    <w:p w14:paraId="370BBC19" w14:textId="5CB2ABF9" w:rsidR="004A0520" w:rsidRDefault="00447E8E" w:rsidP="00BC2AC9">
      <w:pPr>
        <w:spacing w:after="0"/>
        <w:rPr>
          <w:b/>
          <w:bCs/>
          <w:noProof/>
        </w:rPr>
      </w:pPr>
      <w:r>
        <w:rPr>
          <w:noProof/>
        </w:rPr>
        <w:lastRenderedPageBreak/>
        <w:drawing>
          <wp:inline distT="0" distB="0" distL="0" distR="0" wp14:anchorId="4D7C5EF3" wp14:editId="4F5CDB62">
            <wp:extent cx="5943600" cy="694309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6943090"/>
                    </a:xfrm>
                    <a:prstGeom prst="rect">
                      <a:avLst/>
                    </a:prstGeom>
                  </pic:spPr>
                </pic:pic>
              </a:graphicData>
            </a:graphic>
          </wp:inline>
        </w:drawing>
      </w:r>
    </w:p>
    <w:p w14:paraId="144C0C45" w14:textId="68282B09" w:rsidR="005B4D36" w:rsidRPr="006C7246" w:rsidRDefault="005B4D36" w:rsidP="006C7246">
      <w:pPr>
        <w:spacing w:after="0" w:line="276" w:lineRule="auto"/>
        <w:rPr>
          <w:rFonts w:eastAsiaTheme="majorEastAsia" w:cstheme="majorBidi"/>
          <w:b/>
          <w:szCs w:val="28"/>
          <w:lang w:val="en-GB"/>
        </w:rPr>
      </w:pPr>
      <w:r w:rsidRPr="006C7246">
        <w:rPr>
          <w:b/>
          <w:bCs/>
          <w:sz w:val="22"/>
          <w:szCs w:val="20"/>
        </w:rPr>
        <w:t xml:space="preserve">Figure </w:t>
      </w:r>
      <w:r w:rsidR="00965662" w:rsidRPr="006C7246">
        <w:rPr>
          <w:b/>
          <w:bCs/>
          <w:sz w:val="22"/>
          <w:szCs w:val="20"/>
        </w:rPr>
        <w:t>3</w:t>
      </w:r>
      <w:r w:rsidRPr="006C7246">
        <w:rPr>
          <w:b/>
          <w:bCs/>
          <w:sz w:val="22"/>
          <w:szCs w:val="20"/>
        </w:rPr>
        <w:t>.</w:t>
      </w:r>
      <w:r w:rsidRPr="006C7246">
        <w:rPr>
          <w:sz w:val="22"/>
          <w:szCs w:val="20"/>
        </w:rPr>
        <w:t xml:space="preserve"> </w:t>
      </w:r>
      <w:r w:rsidR="00A15B07" w:rsidRPr="006C7246">
        <w:rPr>
          <w:sz w:val="22"/>
          <w:szCs w:val="20"/>
        </w:rPr>
        <w:t xml:space="preserve">(a) </w:t>
      </w:r>
      <w:r w:rsidRPr="006C7246">
        <w:rPr>
          <w:sz w:val="22"/>
          <w:szCs w:val="20"/>
        </w:rPr>
        <w:t>Heatmap showing the relative abundance of genera that are found in all blood samples but not in all negative controls.</w:t>
      </w:r>
      <w:r w:rsidR="00723757" w:rsidRPr="006C7246">
        <w:rPr>
          <w:sz w:val="22"/>
          <w:szCs w:val="20"/>
        </w:rPr>
        <w:t xml:space="preserve"> Each tile represents the relative abundance of a single genus for a particular sample.</w:t>
      </w:r>
      <w:r w:rsidRPr="006C7246">
        <w:rPr>
          <w:sz w:val="22"/>
          <w:szCs w:val="20"/>
        </w:rPr>
        <w:t xml:space="preserve"> Black tiles indicate a relative abundance of zero.</w:t>
      </w:r>
      <w:r w:rsidR="00A15B07" w:rsidRPr="006C7246">
        <w:rPr>
          <w:sz w:val="22"/>
          <w:szCs w:val="20"/>
        </w:rPr>
        <w:t xml:space="preserve"> (b) </w:t>
      </w:r>
      <w:r w:rsidR="00607BD7" w:rsidRPr="006C7246">
        <w:rPr>
          <w:sz w:val="22"/>
          <w:szCs w:val="20"/>
        </w:rPr>
        <w:t xml:space="preserve">Boxplots of </w:t>
      </w:r>
      <w:r w:rsidR="00895E8D" w:rsidRPr="006C7246">
        <w:rPr>
          <w:sz w:val="22"/>
          <w:szCs w:val="20"/>
        </w:rPr>
        <w:t>RDA</w:t>
      </w:r>
      <w:r w:rsidR="00607BD7" w:rsidRPr="006C7246">
        <w:rPr>
          <w:sz w:val="22"/>
          <w:szCs w:val="20"/>
        </w:rPr>
        <w:t xml:space="preserve"> for </w:t>
      </w:r>
      <w:r w:rsidR="007853CC" w:rsidRPr="006C7246">
        <w:rPr>
          <w:sz w:val="22"/>
          <w:szCs w:val="20"/>
        </w:rPr>
        <w:t xml:space="preserve">genera </w:t>
      </w:r>
      <w:r w:rsidR="00DB24C1" w:rsidRPr="006C7246">
        <w:rPr>
          <w:sz w:val="22"/>
          <w:szCs w:val="20"/>
        </w:rPr>
        <w:t xml:space="preserve">that were </w:t>
      </w:r>
      <w:r w:rsidR="007853CC" w:rsidRPr="006C7246">
        <w:rPr>
          <w:sz w:val="22"/>
          <w:szCs w:val="20"/>
        </w:rPr>
        <w:t xml:space="preserve">present in all samples. </w:t>
      </w:r>
      <w:r w:rsidR="00D26F05" w:rsidRPr="006C7246">
        <w:rPr>
          <w:sz w:val="22"/>
          <w:szCs w:val="20"/>
        </w:rPr>
        <w:t xml:space="preserve">Each point represents a single sample. </w:t>
      </w:r>
      <w:r w:rsidR="007853CC" w:rsidRPr="006C7246">
        <w:rPr>
          <w:sz w:val="22"/>
          <w:szCs w:val="20"/>
        </w:rPr>
        <w:t xml:space="preserve">Panels </w:t>
      </w:r>
      <w:r w:rsidR="00971B23" w:rsidRPr="006C7246">
        <w:rPr>
          <w:sz w:val="22"/>
          <w:szCs w:val="20"/>
        </w:rPr>
        <w:t>that are not likely</w:t>
      </w:r>
      <w:r w:rsidR="00723757" w:rsidRPr="006C7246">
        <w:rPr>
          <w:sz w:val="22"/>
          <w:szCs w:val="20"/>
        </w:rPr>
        <w:t xml:space="preserve"> </w:t>
      </w:r>
      <w:r w:rsidR="00971B23" w:rsidRPr="006C7246">
        <w:rPr>
          <w:sz w:val="22"/>
          <w:szCs w:val="20"/>
        </w:rPr>
        <w:t xml:space="preserve">candidate members of the human blood microbiome are shaded grey, and the reference frame is shaded yellow. </w:t>
      </w:r>
    </w:p>
    <w:p w14:paraId="315E8F2E" w14:textId="77777777" w:rsidR="00BC2AC9" w:rsidRDefault="00BC2AC9" w:rsidP="00BC2AC9">
      <w:pPr>
        <w:pStyle w:val="Heading1"/>
        <w:rPr>
          <w:lang w:val="en-GB"/>
        </w:rPr>
      </w:pPr>
      <w:r>
        <w:rPr>
          <w:lang w:val="en-GB"/>
        </w:rPr>
        <w:lastRenderedPageBreak/>
        <w:t>Discussion</w:t>
      </w:r>
    </w:p>
    <w:p w14:paraId="751C612E" w14:textId="75264A76" w:rsidR="007934C0" w:rsidRDefault="007934C0" w:rsidP="007934C0">
      <w:pPr>
        <w:pStyle w:val="Heading2"/>
      </w:pPr>
      <w:r>
        <w:t xml:space="preserve">The </w:t>
      </w:r>
      <w:r w:rsidR="00CA27B9">
        <w:t xml:space="preserve">potential </w:t>
      </w:r>
      <w:r>
        <w:t>healthy human blood microbiome</w:t>
      </w:r>
    </w:p>
    <w:p w14:paraId="236C343B" w14:textId="6594B7C6" w:rsidR="007C5CDC" w:rsidRDefault="00FB7725" w:rsidP="006C7246">
      <w:r>
        <w:t xml:space="preserve">This study </w:t>
      </w:r>
      <w:r w:rsidR="00222200">
        <w:t xml:space="preserve">demonstrates that many of the microbial sequences detected in healthy human blood are not likely to originate from sequencing reagents and may be associated with an active microbial community. Moreover, </w:t>
      </w:r>
      <w:r w:rsidR="00D5636F" w:rsidRPr="00D5636F">
        <w:rPr>
          <w:i/>
          <w:iCs/>
        </w:rPr>
        <w:t>in silico</w:t>
      </w:r>
      <w:r w:rsidR="00D5636F">
        <w:t xml:space="preserve"> analysis of blood and negative controls allowed the careful identification of potential members of the hypothetical blood microbiom</w:t>
      </w:r>
      <w:r w:rsidR="00296514">
        <w:t>e</w:t>
      </w:r>
      <w:r w:rsidR="0034221D">
        <w:t xml:space="preserve"> (</w:t>
      </w:r>
      <w:r w:rsidR="0034221D" w:rsidRPr="0034221D">
        <w:rPr>
          <w:b/>
          <w:bCs/>
        </w:rPr>
        <w:t>Figure 3</w:t>
      </w:r>
      <w:r w:rsidR="0034221D">
        <w:t>)</w:t>
      </w:r>
      <w:r w:rsidR="006F7CB8">
        <w:t xml:space="preserve">, </w:t>
      </w:r>
      <w:r w:rsidR="0004164B">
        <w:t>which are prime targets for further experimental validation.</w:t>
      </w:r>
      <w:r w:rsidR="006F7CB8">
        <w:t xml:space="preserve"> </w:t>
      </w:r>
      <w:r w:rsidR="007C5CDC">
        <w:t xml:space="preserve">Some of these genera have been identified in human blood samples previously. For example, </w:t>
      </w:r>
      <w:r w:rsidR="00465C08" w:rsidRPr="00465C08">
        <w:rPr>
          <w:i/>
          <w:iCs/>
        </w:rPr>
        <w:t>Acinetobacter</w:t>
      </w:r>
      <w:r w:rsidR="00465C08">
        <w:t xml:space="preserve">, </w:t>
      </w:r>
      <w:r w:rsidR="00465C08" w:rsidRPr="00465C08">
        <w:rPr>
          <w:i/>
          <w:iCs/>
        </w:rPr>
        <w:t>Staphylococcus</w:t>
      </w:r>
      <w:r w:rsidR="00465C08">
        <w:rPr>
          <w:i/>
          <w:iCs/>
        </w:rPr>
        <w:t>,</w:t>
      </w:r>
      <w:r w:rsidR="00465C08">
        <w:t xml:space="preserve"> </w:t>
      </w:r>
      <w:r w:rsidR="00465C08">
        <w:rPr>
          <w:i/>
          <w:iCs/>
        </w:rPr>
        <w:t>P</w:t>
      </w:r>
      <w:r w:rsidR="00465C08" w:rsidRPr="00465C08">
        <w:rPr>
          <w:i/>
          <w:iCs/>
        </w:rPr>
        <w:t>seudomonas</w:t>
      </w:r>
      <w:r w:rsidR="00465C08">
        <w:t xml:space="preserve"> and </w:t>
      </w:r>
      <w:r w:rsidR="00465C08">
        <w:rPr>
          <w:i/>
          <w:iCs/>
        </w:rPr>
        <w:t>B</w:t>
      </w:r>
      <w:r w:rsidR="00465C08" w:rsidRPr="00465C08">
        <w:rPr>
          <w:i/>
          <w:iCs/>
        </w:rPr>
        <w:t>acillus</w:t>
      </w:r>
      <w:r w:rsidR="00465C08">
        <w:rPr>
          <w:i/>
          <w:iCs/>
        </w:rPr>
        <w:t xml:space="preserve"> </w:t>
      </w:r>
      <w:r w:rsidR="00465C08">
        <w:t>species were isolated from at least one healthy blood sample via microbiological culture</w:t>
      </w:r>
      <w:r w:rsidR="008C234C">
        <w:t xml:space="preserve">, with </w:t>
      </w:r>
      <w:r w:rsidR="008C234C" w:rsidRPr="00465C08">
        <w:rPr>
          <w:i/>
          <w:iCs/>
        </w:rPr>
        <w:t>S</w:t>
      </w:r>
      <w:r w:rsidR="008C234C">
        <w:t xml:space="preserve">. </w:t>
      </w:r>
      <w:r w:rsidR="008C234C">
        <w:rPr>
          <w:i/>
          <w:iCs/>
        </w:rPr>
        <w:t>epidermis</w:t>
      </w:r>
      <w:r w:rsidR="008C234C">
        <w:t xml:space="preserve"> found in 23% of samples </w:t>
      </w:r>
      <w:r w:rsidR="00465C08">
        <w:fldChar w:fldCharType="begin" w:fldLock="1"/>
      </w:r>
      <w:r w:rsidR="006030D0">
        <w:instrText>ADDIN CSL_CITATION {"citationItems":[{"id":"ITEM-1","itemData":{"ISSN":"1932-6203","author":[{"dropping-particle":"","family":"Damgaard","given":"Christian","non-dropping-particle":"","parse-names":false,"suffix":""},{"dropping-particle":"","family":"Magnussen","given":"Karin","non-dropping-particle":"","parse-names":false,"suffix":""},{"dropping-particle":"","family":"Enevold","given":"Christian","non-dropping-particle":"","parse-names":false,"suffix":""},{"dropping-particle":"","family":"Nilsson","given":"Martin","non-dropping-particle":"","parse-names":false,"suffix":""},{"dropping-particle":"","family":"Tolker-Nielsen","given":"Tim","non-dropping-particle":"","parse-names":false,"suffix":""},{"dropping-particle":"","family":"Holmstrup","given":"Palle","non-dropping-particle":"","parse-names":false,"suffix":""},{"dropping-particle":"","family":"Nielsen","given":"Claus Henrik","non-dropping-particle":"","parse-names":false,"suffix":""}],"container-title":"PLoS One","id":"ITEM-1","issue":"3","issued":{"date-parts":[["2015"]]},"page":"e0120826","publisher":"Public Library of Science","title":"Viable bacteria associated with red blood cells and plasma in freshly drawn blood donations","type":"article-journal","volume":"10"},"uris":["http://www.mendeley.com/documents/?uuid=1277d5d5-07d6-4dff-9712-7c49d10fc205"]}],"mendeley":{"formattedCitation":"(Damgaard &lt;i&gt;et al.&lt;/i&gt;, 2015)","plainTextFormattedCitation":"(Damgaard et al., 2015)","previouslyFormattedCitation":"(Damgaard &lt;i&gt;et al.&lt;/i&gt;, 2015)"},"properties":{"noteIndex":0},"schema":"https://github.com/citation-style-language/schema/raw/master/csl-citation.json"}</w:instrText>
      </w:r>
      <w:r w:rsidR="00465C08">
        <w:fldChar w:fldCharType="separate"/>
      </w:r>
      <w:r w:rsidR="00465C08" w:rsidRPr="00465C08">
        <w:rPr>
          <w:noProof/>
        </w:rPr>
        <w:t xml:space="preserve">(Damgaard </w:t>
      </w:r>
      <w:r w:rsidR="00465C08" w:rsidRPr="00465C08">
        <w:rPr>
          <w:i/>
          <w:noProof/>
        </w:rPr>
        <w:t>et al.</w:t>
      </w:r>
      <w:r w:rsidR="00465C08" w:rsidRPr="00465C08">
        <w:rPr>
          <w:noProof/>
        </w:rPr>
        <w:t>, 2015)</w:t>
      </w:r>
      <w:r w:rsidR="00465C08">
        <w:fldChar w:fldCharType="end"/>
      </w:r>
      <w:r w:rsidR="00465C08">
        <w:t>.</w:t>
      </w:r>
      <w:r w:rsidR="008C234C">
        <w:t xml:space="preserve"> </w:t>
      </w:r>
      <w:r w:rsidR="0048216A">
        <w:t>This</w:t>
      </w:r>
      <w:r w:rsidR="00A56C4E">
        <w:t xml:space="preserve"> indicates that live microbial cells from said genera</w:t>
      </w:r>
      <w:r w:rsidR="0048216A">
        <w:t xml:space="preserve"> can indeed be found in </w:t>
      </w:r>
      <w:r w:rsidR="001C5CB7">
        <w:t xml:space="preserve">healthy human </w:t>
      </w:r>
      <w:r w:rsidR="0048216A">
        <w:t>blood.</w:t>
      </w:r>
      <w:r w:rsidR="0009580F">
        <w:t xml:space="preserve"> </w:t>
      </w:r>
      <w:r w:rsidR="00A56C4E">
        <w:t xml:space="preserve">Additionally, in another metagenomic sequencing study involving 30 healthy French blood donors, </w:t>
      </w:r>
      <w:r w:rsidR="00A56C4E" w:rsidRPr="00A56C4E">
        <w:rPr>
          <w:i/>
          <w:iCs/>
        </w:rPr>
        <w:t>Acinetobacter</w:t>
      </w:r>
      <w:r w:rsidR="00A56C4E" w:rsidRPr="00A56C4E">
        <w:t xml:space="preserve">, </w:t>
      </w:r>
      <w:r w:rsidR="00A56C4E" w:rsidRPr="00A56C4E">
        <w:rPr>
          <w:i/>
          <w:iCs/>
        </w:rPr>
        <w:t>Escherichia/Shigella</w:t>
      </w:r>
      <w:r w:rsidR="00A56C4E" w:rsidRPr="00A56C4E">
        <w:t xml:space="preserve">, </w:t>
      </w:r>
      <w:r w:rsidR="00A56C4E" w:rsidRPr="00A56C4E">
        <w:rPr>
          <w:i/>
          <w:iCs/>
        </w:rPr>
        <w:t>Corynebacterium</w:t>
      </w:r>
      <w:r w:rsidR="00A56C4E" w:rsidRPr="00A56C4E">
        <w:t xml:space="preserve">, </w:t>
      </w:r>
      <w:r w:rsidR="00A56C4E" w:rsidRPr="00A56C4E">
        <w:rPr>
          <w:i/>
          <w:iCs/>
        </w:rPr>
        <w:t>Pseudomonas</w:t>
      </w:r>
      <w:r w:rsidR="00A56C4E" w:rsidRPr="00A56C4E">
        <w:t xml:space="preserve">, </w:t>
      </w:r>
      <w:r w:rsidR="00A56C4E">
        <w:t xml:space="preserve">and </w:t>
      </w:r>
      <w:r w:rsidR="00A56C4E" w:rsidRPr="00A56C4E">
        <w:rPr>
          <w:i/>
          <w:iCs/>
        </w:rPr>
        <w:t>Staphylococcus</w:t>
      </w:r>
      <w:r w:rsidR="00A56C4E">
        <w:t xml:space="preserve"> sequences were also found</w:t>
      </w:r>
      <w:r w:rsidR="006030D0">
        <w:t xml:space="preserve"> </w:t>
      </w:r>
      <w:r w:rsidR="006030D0">
        <w:fldChar w:fldCharType="begin" w:fldLock="1"/>
      </w:r>
      <w:r w:rsidR="00C17E96">
        <w:instrText>ADDIN CSL_CITATION {"citationItems":[{"id":"ITEM-1","itemData":{"ISSN":"0041-1132","author":[{"dropping-particle":"","family":"Païssé","given":"Sandrine","non-dropping-particle":"","parse-names":false,"suffix":""},{"dropping-particle":"","family":"Valle","given":"Carine","non-dropping-particle":"","parse-names":false,"suffix":""},{"dropping-particle":"","family":"Servant","given":"Florence","non-dropping-particle":"","parse-names":false,"suffix":""},{"dropping-particle":"","family":"Courtney","given":"Michael","non-dropping-particle":"","parse-names":false,"suffix":""},{"dropping-particle":"","family":"Burcelin","given":"Rémy","non-dropping-particle":"","parse-names":false,"suffix":""},{"dropping-particle":"","family":"Amar","given":"Jacques","non-dropping-particle":"","parse-names":false,"suffix":""},{"dropping-particle":"","family":"Lelouvier","given":"Benjamin","non-dropping-particle":"","parse-names":false,"suffix":""}],"container-title":"Transfusion","id":"ITEM-1","issue":"5","issued":{"date-parts":[["2016"]]},"page":"1138-1147","publisher":"Wiley Online Library","title":"Comprehensive description of blood microbiome from healthy donors assessed by 16 S targeted metagenomic sequencing","type":"article-journal","volume":"56"},"uris":["http://www.mendeley.com/documents/?uuid=82c4f30f-a311-44c4-b5fd-70081805891a"]}],"mendeley":{"formattedCitation":"(Païssé &lt;i&gt;et al.&lt;/i&gt;, 2016)","plainTextFormattedCitation":"(Païssé et al., 2016)","previouslyFormattedCitation":"(Païssé &lt;i&gt;et al.&lt;/i&gt;, 2016)"},"properties":{"noteIndex":0},"schema":"https://github.com/citation-style-language/schema/raw/master/csl-citation.json"}</w:instrText>
      </w:r>
      <w:r w:rsidR="006030D0">
        <w:fldChar w:fldCharType="separate"/>
      </w:r>
      <w:r w:rsidR="006030D0" w:rsidRPr="006030D0">
        <w:rPr>
          <w:noProof/>
        </w:rPr>
        <w:t xml:space="preserve">(Païssé </w:t>
      </w:r>
      <w:r w:rsidR="006030D0" w:rsidRPr="006030D0">
        <w:rPr>
          <w:i/>
          <w:noProof/>
        </w:rPr>
        <w:t>et al.</w:t>
      </w:r>
      <w:r w:rsidR="006030D0" w:rsidRPr="006030D0">
        <w:rPr>
          <w:noProof/>
        </w:rPr>
        <w:t>, 2016)</w:t>
      </w:r>
      <w:r w:rsidR="006030D0">
        <w:fldChar w:fldCharType="end"/>
      </w:r>
      <w:r w:rsidR="00A56C4E">
        <w:t xml:space="preserve">. Given that different experimental protocols </w:t>
      </w:r>
      <w:r w:rsidR="009A6672">
        <w:t>were used, and that the samples were from a different cohort</w:t>
      </w:r>
      <w:r w:rsidR="00A56C4E">
        <w:t xml:space="preserve">, </w:t>
      </w:r>
      <w:r w:rsidR="002A292C">
        <w:t xml:space="preserve">these findings </w:t>
      </w:r>
      <w:r w:rsidR="00C16C50">
        <w:t xml:space="preserve">serve as </w:t>
      </w:r>
      <w:r w:rsidR="002A292C">
        <w:t xml:space="preserve">independent validation </w:t>
      </w:r>
      <w:r w:rsidR="00C16C50">
        <w:t xml:space="preserve">of our results. </w:t>
      </w:r>
    </w:p>
    <w:p w14:paraId="2B9FF601" w14:textId="5AFFD0CA" w:rsidR="001932A1" w:rsidRDefault="00E738C4" w:rsidP="006C7246">
      <w:r>
        <w:t>Separately</w:t>
      </w:r>
      <w:r w:rsidR="0009580F">
        <w:t xml:space="preserve">, </w:t>
      </w:r>
      <w:r w:rsidR="003C79D3">
        <w:t xml:space="preserve">our results suggest that the gut and mouth </w:t>
      </w:r>
      <w:r w:rsidR="00C5219A">
        <w:t xml:space="preserve">may be potential sources of the bacteria found in blood. </w:t>
      </w:r>
      <w:r w:rsidR="00BE73D0">
        <w:t xml:space="preserve">For example, </w:t>
      </w:r>
      <w:r w:rsidR="00BE73D0" w:rsidRPr="00D30836">
        <w:rPr>
          <w:i/>
          <w:iCs/>
        </w:rPr>
        <w:t>Bifidobacterium</w:t>
      </w:r>
      <w:r w:rsidR="00BE73D0">
        <w:t xml:space="preserve">, </w:t>
      </w:r>
      <w:r w:rsidR="00BE73D0" w:rsidRPr="00D30836">
        <w:rPr>
          <w:i/>
          <w:iCs/>
        </w:rPr>
        <w:t>Lactobacillus</w:t>
      </w:r>
      <w:r w:rsidR="0084732D">
        <w:t xml:space="preserve"> and </w:t>
      </w:r>
      <w:r w:rsidR="0084732D" w:rsidRPr="00D30836">
        <w:rPr>
          <w:i/>
          <w:iCs/>
        </w:rPr>
        <w:t>Rothia</w:t>
      </w:r>
      <w:r w:rsidR="0084732D">
        <w:t xml:space="preserve"> are often found in </w:t>
      </w:r>
      <w:r w:rsidR="009B6496">
        <w:t xml:space="preserve">the </w:t>
      </w:r>
      <w:r w:rsidR="0084732D">
        <w:t>human oral cavit</w:t>
      </w:r>
      <w:r w:rsidR="009B6496">
        <w:t>y</w:t>
      </w:r>
      <w:r w:rsidR="0030454D">
        <w:t xml:space="preserve"> </w:t>
      </w:r>
      <w:r w:rsidR="0030454D">
        <w:fldChar w:fldCharType="begin" w:fldLock="1"/>
      </w:r>
      <w:r w:rsidR="009255B5">
        <w:instrText>ADDIN CSL_CITATION {"citationItems":[{"id":"ITEM-1","itemData":{"ISSN":"1651-2235","author":[{"dropping-particle":"","family":"Marsh","given":"Philip D","non-dropping-particle":"","parse-names":false,"suffix":""}],"container-title":"Microbial Ecology in Health and Disease","id":"ITEM-1","issue":"3","issued":{"date-parts":[["2000"]]},"page":"130-137","publisher":"Taylor &amp; Francis","title":"Role of the oral microflora in health","type":"article-journal","volume":"12"},"uris":["http://www.mendeley.com/documents/?uuid=da86b11f-0293-43ab-9ad6-24344bb08e23"]},{"id":"ITEM-2","itemData":{"ISSN":"1347-6947","author":[{"dropping-particle":"","family":"Hojo","given":"Kenichi","non-dropping-particle":"","parse-names":false,"suffix":""},{"dropping-particle":"","family":"Mizoguchi","given":"Chinami","non-dropping-particle":"","parse-names":false,"suffix":""},{"dropping-particle":"","family":"Taketomo","given":"Naoki","non-dropping-particle":"","parse-names":false,"suffix":""},{"dropping-particle":"","family":"Ohshima","given":"Tomoko","non-dropping-particle":"","parse-names":false,"suffix":""},{"dropping-particle":"","family":"Gomi","given":"Kazuhiro","non-dropping-particle":"","parse-names":false,"suffix":""},{"dropping-particle":"","family":"Arai","given":"Takashi","non-dropping-particle":"","parse-names":false,"suffix":""},{"dropping-particle":"","family":"Maeda","given":"Nobuko","non-dropping-particle":"","parse-names":false,"suffix":""}],"container-title":"Bioscience, biotechnology, and biochemistry","id":"ITEM-2","issue":"1","issued":{"date-parts":[["2007"]]},"page":"152-157","publisher":"Taylor &amp; Francis","title":"Distribution of salivary Lactobacillus and Bifidobacterium species in periodontal health and disease","type":"article-journal","volume":"71"},"uris":["http://www.mendeley.com/documents/?uuid=19b97094-1e64-4550-a327-e14031460d5f"]}],"mendeley":{"formattedCitation":"(Marsh, 2000; Hojo &lt;i&gt;et al.&lt;/i&gt;, 2007)","plainTextFormattedCitation":"(Marsh, 2000; Hojo et al., 2007)","previouslyFormattedCitation":"(Marsh, 2000; Hojo &lt;i&gt;et al.&lt;/i&gt;, 2007)"},"properties":{"noteIndex":0},"schema":"https://github.com/citation-style-language/schema/raw/master/csl-citation.json"}</w:instrText>
      </w:r>
      <w:r w:rsidR="0030454D">
        <w:fldChar w:fldCharType="separate"/>
      </w:r>
      <w:r w:rsidR="0030454D" w:rsidRPr="0030454D">
        <w:rPr>
          <w:noProof/>
        </w:rPr>
        <w:t xml:space="preserve">(Marsh, 2000; Hojo </w:t>
      </w:r>
      <w:r w:rsidR="0030454D" w:rsidRPr="0030454D">
        <w:rPr>
          <w:i/>
          <w:noProof/>
        </w:rPr>
        <w:t>et al.</w:t>
      </w:r>
      <w:r w:rsidR="0030454D" w:rsidRPr="0030454D">
        <w:rPr>
          <w:noProof/>
        </w:rPr>
        <w:t>, 2007)</w:t>
      </w:r>
      <w:r w:rsidR="0030454D">
        <w:fldChar w:fldCharType="end"/>
      </w:r>
      <w:r w:rsidR="0084732D">
        <w:t xml:space="preserve"> and gastrointestinal tract</w:t>
      </w:r>
      <w:r w:rsidR="0030454D">
        <w:t xml:space="preserve"> </w:t>
      </w:r>
      <w:r w:rsidR="0030454D">
        <w:fldChar w:fldCharType="begin" w:fldLock="1"/>
      </w:r>
      <w:r w:rsidR="0030454D">
        <w:instrText>ADDIN CSL_CITATION {"citationItems":[{"id":"ITEM-1","itemData":{"ISSN":"1664-302X","author":[{"dropping-particle":"","family":"Turroni","given":"Francesca","non-dropping-particle":"","parse-names":false,"suffix":""},{"dropping-particle":"","family":"Duranti","given":"Sabrina","non-dropping-particle":"","parse-names":false,"suffix":""},{"dropping-particle":"","family":"Bottacini","given":"Francesca","non-dropping-particle":"","parse-names":false,"suffix":""},{"dropping-particle":"","family":"Guglielmetti","given":"Simone","non-dropping-particle":"","parse-names":false,"suffix":""},{"dropping-particle":"","family":"Sinderen","given":"Douwe","non-dropping-particle":"Van","parse-names":false,"suffix":""},{"dropping-particle":"","family":"Ventura","given":"Marco","non-dropping-particle":"","parse-names":false,"suffix":""}],"container-title":"Frontiers in microbiology","id":"ITEM-1","issued":{"date-parts":[["2014"]]},"page":"437","publisher":"Frontiers","title":"Bifidobacterium bifidum as an example of a specialized human gut commensal","type":"article-journal","volume":"5"},"uris":["http://www.mendeley.com/documents/?uuid=4ff41f05-2b3a-4d7c-95f5-65592226d2d0"]},{"id":"ITEM-2","itemData":{"ISSN":"1466-531X","author":[{"dropping-particle":"","family":"Reuter","given":"Gerhard","non-dropping-particle":"","parse-names":false,"suffix":""}],"container-title":"Current issues in intestinal microbiology","id":"ITEM-2","issue":"2","issued":{"date-parts":[["2001"]]},"page":"43-53","title":"The Lactobacillus and Bifidobacterium microflora of the human intestine: composition and succession","type":"article-journal","volume":"2"},"uris":["http://www.mendeley.com/documents/?uuid=3b49bbe6-1ebb-4fd9-bfa5-c1530f846c78"]}],"mendeley":{"formattedCitation":"(Reuter, 2001; Turroni &lt;i&gt;et al.&lt;/i&gt;, 2014)","plainTextFormattedCitation":"(Reuter, 2001; Turroni et al., 2014)","previouslyFormattedCitation":"(Reuter, 2001; Turroni &lt;i&gt;et al.&lt;/i&gt;, 2014)"},"properties":{"noteIndex":0},"schema":"https://github.com/citation-style-language/schema/raw/master/csl-citation.json"}</w:instrText>
      </w:r>
      <w:r w:rsidR="0030454D">
        <w:fldChar w:fldCharType="separate"/>
      </w:r>
      <w:r w:rsidR="0030454D" w:rsidRPr="0030454D">
        <w:rPr>
          <w:noProof/>
        </w:rPr>
        <w:t xml:space="preserve">(Reuter, 2001; Turroni </w:t>
      </w:r>
      <w:r w:rsidR="0030454D" w:rsidRPr="0030454D">
        <w:rPr>
          <w:i/>
          <w:noProof/>
        </w:rPr>
        <w:t>et al.</w:t>
      </w:r>
      <w:r w:rsidR="0030454D" w:rsidRPr="0030454D">
        <w:rPr>
          <w:noProof/>
        </w:rPr>
        <w:t>, 2014)</w:t>
      </w:r>
      <w:r w:rsidR="0030454D">
        <w:fldChar w:fldCharType="end"/>
      </w:r>
      <w:r w:rsidR="0084732D">
        <w:t>.</w:t>
      </w:r>
      <w:r w:rsidR="00C92D45">
        <w:t xml:space="preserve"> </w:t>
      </w:r>
      <w:r w:rsidR="00CC5658">
        <w:t xml:space="preserve">The detection of these genera in blood suggests that they may have translocated from other bodily sites </w:t>
      </w:r>
      <w:r w:rsidR="00C92D45">
        <w:t>via breaches in the mucosal barrie</w:t>
      </w:r>
      <w:r w:rsidR="00CC5658">
        <w:t>r. In fact, the translocation of bacteria across the intestinal wall has been previously described</w:t>
      </w:r>
      <w:r w:rsidR="004E3E35">
        <w:t xml:space="preserve"> </w:t>
      </w:r>
      <w:r w:rsidR="004E3E35">
        <w:fldChar w:fldCharType="begin" w:fldLock="1"/>
      </w:r>
      <w:r w:rsidR="00BC1843">
        <w:instrText>ADDIN CSL_CITATION {"citationItems":[{"id":"ITEM-1","itemData":{"author":[{"dropping-particle":"","family":"Berg","given":"Rodney D","non-dropping-particle":"","parse-names":false,"suffix":""}],"container-title":"Mechanisms in the pathogenesis of enteric diseases 2","id":"ITEM-1","issued":{"date-parts":[["1999"]]},"page":"11-30","publisher":"Springer","title":"Bacterial translocation from the gastrointestinal tract","type":"article-journal"},"uris":["http://www.mendeley.com/documents/?uuid=09f3d682-bdae-4bcd-b617-8ada421dd6b8"]}],"mendeley":{"formattedCitation":"(Berg, 1999)","plainTextFormattedCitation":"(Berg, 1999)","previouslyFormattedCitation":"(Berg, 1999)"},"properties":{"noteIndex":0},"schema":"https://github.com/citation-style-language/schema/raw/master/csl-citation.json"}</w:instrText>
      </w:r>
      <w:r w:rsidR="004E3E35">
        <w:fldChar w:fldCharType="separate"/>
      </w:r>
      <w:r w:rsidR="004E3E35" w:rsidRPr="004E3E35">
        <w:rPr>
          <w:noProof/>
        </w:rPr>
        <w:t>(Berg, 1999)</w:t>
      </w:r>
      <w:r w:rsidR="004E3E35">
        <w:fldChar w:fldCharType="end"/>
      </w:r>
      <w:r w:rsidR="004E3E35">
        <w:t xml:space="preserve">. In particular, </w:t>
      </w:r>
      <w:r w:rsidR="004E3E35" w:rsidRPr="004E3E35">
        <w:rPr>
          <w:i/>
          <w:iCs/>
        </w:rPr>
        <w:t>Bifidobacterium breve</w:t>
      </w:r>
      <w:r w:rsidR="004E3E35">
        <w:t xml:space="preserve"> has</w:t>
      </w:r>
      <w:r w:rsidR="004F1381">
        <w:t xml:space="preserve"> even</w:t>
      </w:r>
      <w:r w:rsidR="004E3E35">
        <w:t xml:space="preserve"> been used as an orally administered vehicle </w:t>
      </w:r>
      <w:r w:rsidR="006E0955">
        <w:t xml:space="preserve">for delivering </w:t>
      </w:r>
      <w:r w:rsidR="004E3E35">
        <w:t>anti-cancer therapeutic agent</w:t>
      </w:r>
      <w:r w:rsidR="006E0955">
        <w:t>s to tumour cells</w:t>
      </w:r>
      <w:r w:rsidR="00BC1843">
        <w:t xml:space="preserve"> </w:t>
      </w:r>
      <w:r w:rsidR="00BC1843">
        <w:fldChar w:fldCharType="begin" w:fldLock="1"/>
      </w:r>
      <w:r w:rsidR="007C5CDC">
        <w:instrText>ADDIN CSL_CITATION {"citationItems":[{"id":"ITEM-1","itemData":{"ISSN":"1525-0016","author":[{"dropping-particle":"","family":"Cronin","given":"Michelle","non-dropping-particle":"","parse-names":false,"suffix":""},{"dropping-particle":"","family":"Morrissey","given":"David","non-dropping-particle":"","parse-names":false,"suffix":""},{"dropping-particle":"","family":"Rajendran","given":"Simon","non-dropping-particle":"","parse-names":false,"suffix":""},{"dropping-particle":"","family":"Mashad","given":"Shereen M","non-dropping-particle":"El","parse-names":false,"suffix":""},{"dropping-particle":"","family":"Sinderen","given":"Douwe","non-dropping-particle":"Van","parse-names":false,"suffix":""},{"dropping-particle":"","family":"O'sullivan","given":"Gerald C","non-dropping-particle":"","parse-names":false,"suffix":""},{"dropping-particle":"","family":"Tangney","given":"Mark","non-dropping-particle":"","parse-names":false,"suffix":""}],"container-title":"Molecular Therapy","id":"ITEM-1","issue":"7","issued":{"date-parts":[["2010"]]},"page":"1397-1407","publisher":"Elsevier","title":"Orally administered bifidobacteria as vehicles for delivery of agents to systemic tumors","type":"article-journal","volume":"18"},"uris":["http://www.mendeley.com/documents/?uuid=cf5b0b4b-efa1-49ec-998b-d47e4568f912"]}],"mendeley":{"formattedCitation":"(Cronin &lt;i&gt;et al.&lt;/i&gt;, 2010)","plainTextFormattedCitation":"(Cronin et al., 2010)","previouslyFormattedCitation":"(Cronin &lt;i&gt;et al.&lt;/i&gt;, 2010)"},"properties":{"noteIndex":0},"schema":"https://github.com/citation-style-language/schema/raw/master/csl-citation.json"}</w:instrText>
      </w:r>
      <w:r w:rsidR="00BC1843">
        <w:fldChar w:fldCharType="separate"/>
      </w:r>
      <w:r w:rsidR="00BC1843" w:rsidRPr="00BC1843">
        <w:rPr>
          <w:noProof/>
        </w:rPr>
        <w:t xml:space="preserve">(Cronin </w:t>
      </w:r>
      <w:r w:rsidR="00BC1843" w:rsidRPr="00BC1843">
        <w:rPr>
          <w:i/>
          <w:noProof/>
        </w:rPr>
        <w:t>et al.</w:t>
      </w:r>
      <w:r w:rsidR="00BC1843" w:rsidRPr="00BC1843">
        <w:rPr>
          <w:noProof/>
        </w:rPr>
        <w:t>, 2010)</w:t>
      </w:r>
      <w:r w:rsidR="00BC1843">
        <w:fldChar w:fldCharType="end"/>
      </w:r>
      <w:r w:rsidR="004E3E35">
        <w:t>.</w:t>
      </w:r>
      <w:r w:rsidR="00BC1843">
        <w:t xml:space="preserve"> </w:t>
      </w:r>
      <w:r w:rsidR="00314FAE">
        <w:t>Since bacteria</w:t>
      </w:r>
      <w:r w:rsidR="007C5CDC">
        <w:t xml:space="preserve"> can penetrate mucosal barriers and </w:t>
      </w:r>
      <w:r w:rsidR="00A6677E">
        <w:t>bloodstream is a nutrient rich environment, it seems plausible that bacteria</w:t>
      </w:r>
      <w:r w:rsidR="008B14DE">
        <w:t>l cells from other bodily sites can colonise and establish a microbial community in blood</w:t>
      </w:r>
      <w:r w:rsidR="00A6677E">
        <w:t xml:space="preserve">. </w:t>
      </w:r>
      <w:r w:rsidR="00314D93">
        <w:t>Moreover, micrographs of human blood suggest that bacteria can reside within red blood cells</w:t>
      </w:r>
      <w:r w:rsidR="00D84081">
        <w:t xml:space="preserve"> in as L-forms </w:t>
      </w:r>
      <w:r w:rsidR="00D84081">
        <w:fldChar w:fldCharType="begin" w:fldLock="1"/>
      </w:r>
      <w:r w:rsidR="00594158">
        <w:instrText>ADDIN CSL_CITATION {"citationItems":[{"id":"ITEM-1","itemData":{"DOI":"10.1093/femsre/fuv013","ISSN":"0168-6445","abstract":"Blood in healthy organisms is seen as a ‘sterile’ environment: it lacks proliferating microbes. Dormant or not-immediately-culturable forms are not absent, however, as intracellular dormancy is well established. We highlight here that a great many pathogens can survive in blood and inside erythrocytes. ‘Non-culturability’, reflected by discrepancies between plate counts and total counts, is commonplace in environmental microbiology. It is overcome by improved culturing methods, and we asked how common this would be in blood. A number of recent, sequence-based and ultramicroscopic studies have uncovered an authentic blood microbiome in a number of non-communicable diseases. The chief origin of these microbes is the gut microbiome (especially when it shifts composition to a pathogenic state, known as ‘dysbiosis’). Another source is microbes translocated from the oral cavity. ‘Dysbiosis’ is also used to describe translocation of cells into blood or other tissues. To avoid ambiguity, we here use the term ‘atopobiosis’ for microbes that appear in places other than their normal location. Atopobiosis may contribute to the dynamics of a variety of inflammatory diseases. Overall, it seems that many more chronic, non-communicable, inflammatory diseases may have a microbial component than are presently considered, and may be treatable using bactericidal antibiotics or vaccines.","author":[{"dropping-particle":"","family":"Potgieter","given":"Marnie","non-dropping-particle":"","parse-names":false,"suffix":""},{"dropping-particle":"","family":"Bester","given":"Janette","non-dropping-particle":"","parse-names":false,"suffix":""},{"dropping-particle":"","family":"Kell","given":"Douglas B","non-dropping-particle":"","parse-names":false,"suffix":""},{"dropping-particle":"","family":"Pretorius","given":"Etheresia","non-dropping-particle":"","parse-names":false,"suffix":""}],"container-title":"FEMS Microbiology Reviews","id":"ITEM-1","issue":"4","issued":{"date-parts":[["2015","7","1"]]},"page":"567-591","title":"The dormant blood microbiome in chronic, inflammatory diseases","type":"article-journal","volume":"39"},"uris":["http://www.mendeley.com/documents/?uuid=4a6ad771-534f-45df-9f90-aaaa92faf467"]}],"mendeley":{"formattedCitation":"(Potgieter &lt;i&gt;et al.&lt;/i&gt;, 2015)","plainTextFormattedCitation":"(Potgieter et al., 2015)","previouslyFormattedCitation":"(Potgieter &lt;i&gt;et al.&lt;/i&gt;, 2015)"},"properties":{"noteIndex":0},"schema":"https://github.com/citation-style-language/schema/raw/master/csl-citation.json"}</w:instrText>
      </w:r>
      <w:r w:rsidR="00D84081">
        <w:fldChar w:fldCharType="separate"/>
      </w:r>
      <w:r w:rsidR="00D84081" w:rsidRPr="00D84081">
        <w:rPr>
          <w:noProof/>
        </w:rPr>
        <w:t xml:space="preserve">(Potgieter </w:t>
      </w:r>
      <w:r w:rsidR="00D84081" w:rsidRPr="00D84081">
        <w:rPr>
          <w:i/>
          <w:noProof/>
        </w:rPr>
        <w:t>et al.</w:t>
      </w:r>
      <w:r w:rsidR="00D84081" w:rsidRPr="00D84081">
        <w:rPr>
          <w:noProof/>
        </w:rPr>
        <w:t>, 2015)</w:t>
      </w:r>
      <w:r w:rsidR="00D84081">
        <w:fldChar w:fldCharType="end"/>
      </w:r>
      <w:r w:rsidR="00D84081">
        <w:t>. L-form refers to a bacterium that has lost some or all of its cell wall. This is a potential mechanism for bacteria translocated from other bodily sites to establish themselves in the bloodstream.</w:t>
      </w:r>
    </w:p>
    <w:p w14:paraId="6E3310D7" w14:textId="7AD09D3F" w:rsidR="0009580F" w:rsidRPr="000A7306" w:rsidRDefault="0009383A" w:rsidP="006C7246">
      <w:pPr>
        <w:rPr>
          <w:lang w:val="en-GB"/>
        </w:rPr>
      </w:pPr>
      <w:r>
        <w:rPr>
          <w:lang w:val="en-GB"/>
        </w:rPr>
        <w:lastRenderedPageBreak/>
        <w:t xml:space="preserve">One interesting observation is the clustering of blood microbial </w:t>
      </w:r>
      <w:r w:rsidR="00083A1C">
        <w:rPr>
          <w:lang w:val="en-GB"/>
        </w:rPr>
        <w:t xml:space="preserve">abundance </w:t>
      </w:r>
      <w:r>
        <w:rPr>
          <w:lang w:val="en-GB"/>
        </w:rPr>
        <w:t>profiles into distinct groups (</w:t>
      </w:r>
      <w:r w:rsidRPr="0009383A">
        <w:rPr>
          <w:b/>
          <w:bCs/>
          <w:lang w:val="en-GB"/>
        </w:rPr>
        <w:t>Figure 2d</w:t>
      </w:r>
      <w:r>
        <w:rPr>
          <w:lang w:val="en-GB"/>
        </w:rPr>
        <w:t>)</w:t>
      </w:r>
      <w:r w:rsidR="00267B58">
        <w:rPr>
          <w:lang w:val="en-GB"/>
        </w:rPr>
        <w:t xml:space="preserve">. If a blood microbiome exists, the presence of microbiome subtypes would be unsurprising. Indeed, </w:t>
      </w:r>
      <w:r w:rsidR="00620DDD">
        <w:rPr>
          <w:lang w:val="en-GB"/>
        </w:rPr>
        <w:t>demographic factors and health status are known to affect the microbiome of other bodily sites. For instance, age</w:t>
      </w:r>
      <w:r w:rsidR="00267B58">
        <w:rPr>
          <w:lang w:val="en-GB"/>
        </w:rPr>
        <w:t xml:space="preserve">, </w:t>
      </w:r>
      <w:r w:rsidR="00620DDD">
        <w:rPr>
          <w:lang w:val="en-GB"/>
        </w:rPr>
        <w:t>blood biomarker</w:t>
      </w:r>
      <w:r w:rsidR="00267B58">
        <w:rPr>
          <w:lang w:val="en-GB"/>
        </w:rPr>
        <w:t xml:space="preserve">s and even mineral supplement consumption were found to be associated with the composition and diversity </w:t>
      </w:r>
      <w:r w:rsidR="00887D50">
        <w:rPr>
          <w:lang w:val="en-GB"/>
        </w:rPr>
        <w:t>of the</w:t>
      </w:r>
      <w:r w:rsidR="00267B58">
        <w:rPr>
          <w:lang w:val="en-GB"/>
        </w:rPr>
        <w:t xml:space="preserve"> human gut</w:t>
      </w:r>
      <w:r w:rsidR="00887D50">
        <w:rPr>
          <w:lang w:val="en-GB"/>
        </w:rPr>
        <w:t xml:space="preserve"> microbiome</w:t>
      </w:r>
      <w:r w:rsidR="00B64335">
        <w:rPr>
          <w:lang w:val="en-GB"/>
        </w:rPr>
        <w:t xml:space="preserve"> </w:t>
      </w:r>
      <w:r w:rsidR="00B64335">
        <w:rPr>
          <w:lang w:val="en-GB"/>
        </w:rPr>
        <w:fldChar w:fldCharType="begin" w:fldLock="1"/>
      </w:r>
      <w:r w:rsidR="00CC4E38">
        <w:rPr>
          <w:lang w:val="en-GB"/>
        </w:rPr>
        <w:instrText>ADDIN CSL_CITATION {"citationItems":[{"id":"ITEM-1","itemData":{"DOI":"10.1186/s40168-019-0747-x","ISSN":"2049-2618","abstract":"The gut microbiome is an important determinant of human health. Its composition has been shown to be influenced by multiple environmental factors and likely by host genetic variation. In the framework of the Milieu Intérieur Consortium, a total of 1000 healthy individuals of western European ancestry, with a 1:1 sex ratio and evenly stratified across five decades of life (age 20–69), were recruited. We generated 16S ribosomal RNA profiles from stool samples for 858 participants. We investigated genetic and non-genetic factors that contribute to individual differences in fecal microbiome composition.","author":[{"dropping-particle":"","family":"Scepanovic","given":"Petar","non-dropping-particle":"","parse-names":false,"suffix":""},{"dropping-particle":"","family":"Hodel","given":"Flavia","non-dropping-particle":"","parse-names":false,"suffix":""},{"dropping-particle":"","family":"Mondot","given":"Stanislas","non-dropping-particle":"","parse-names":false,"suffix":""},{"dropping-particle":"","family":"Partula","given":"Valentin","non-dropping-particle":"","parse-names":false,"suffix":""},{"dropping-particle":"","family":"Byrd","given":"Allyson","non-dropping-particle":"","parse-names":false,"suffix":""},{"dropping-particle":"","family":"Hammer","given":"Christian","non-dropping-particle":"","parse-names":false,"suffix":""},{"dropping-particle":"","family":"Alanio","given":"Cécile","non-dropping-particle":"","parse-names":false,"suffix":""},{"dropping-particle":"","family":"Bergstedt","given":"Jacob","non-dropping-particle":"","parse-names":false,"suffix":""},{"dropping-particle":"","family":"Patin","given":"Etienne","non-dropping-particle":"","parse-names":false,"suffix":""},{"dropping-particle":"","family":"Touvier","given":"Mathilde","non-dropping-particle":"","parse-names":false,"suffix":""},{"dropping-particle":"","family":"Lantz","given":"Olivier","non-dropping-particle":"","parse-names":false,"suffix":""},{"dropping-particle":"","family":"Albert","given":"Matthew L","non-dropping-particle":"","parse-names":false,"suffix":""},{"dropping-particle":"","family":"Duffy","given":"Darragh","non-dropping-particle":"","parse-names":false,"suffix":""},{"dropping-particle":"","family":"Quintana-Murci","given":"Lluis","non-dropping-particle":"","parse-names":false,"suffix":""},{"dropping-particle":"","family":"Fellay","given":"Jacques","non-dropping-particle":"","parse-names":false,"suffix":""},{"dropping-particle":"","family":"Abel","given":"Laurent","non-dropping-particle":"","parse-names":false,"suffix":""},{"dropping-particle":"","family":"Alcover","given":"Andres","non-dropping-particle":"","parse-names":false,"suffix":""},{"dropping-particle":"","family":"Aschard","given":"Hugues","non-dropping-particle":"","parse-names":false,"suffix":""},{"dropping-particle":"","family":"Astrom","given":"Kalla","non-dropping-particle":"","parse-names":false,"suffix":""},{"dropping-particle":"","family":"Bousso","given":"Philippe","non-dropping-particle":"","parse-names":false,"suffix":""},{"dropping-particle":"","family":"Bruhns","given":"Pierre","non-dropping-particle":"","parse-names":false,"suffix":""},{"dropping-particle":"","family":"Cumano","given":"Ana","non-dropping-particle":"","parse-names":false,"suffix":""},{"dropping-particle":"","family":"Demangel","given":"Caroline","non-dropping-particle":"","parse-names":false,"suffix":""},{"dropping-particle":"","family":"Deriano","given":"Ludovic","non-dropping-particle":"","parse-names":false,"suffix":""},{"dropping-particle":"","family":"Santo","given":"James","non-dropping-particle":"Di","parse-names":false,"suffix":""},{"dropping-particle":"","family":"Dromer","given":"Françoise","non-dropping-particle":"","parse-names":false,"suffix":""},{"dropping-particle":"","family":"Duffy","given":"Darragh","non-dropping-particle":"","parse-names":false,"suffix":""},{"dropping-particle":"","family":"Eberl","given":"Gérard","non-dropping-particle":"","parse-names":false,"suffix":""},{"dropping-particle":"","family":"Enninga","given":"Jost","non-dropping-particle":"","parse-names":false,"suffix":""},{"dropping-particle":"","family":"Fellay","given":"Jacques","non-dropping-particle":"","parse-names":false,"suffix":""},{"dropping-particle":"","family":"Gelpi","given":"Odile","non-dropping-particle":"","parse-names":false,"suffix":""},{"dropping-particle":"","family":"Gomperts-Boneca","given":"Ivo","non-dropping-particle":"","parse-names":false,"suffix":""},{"dropping-particle":"","family":"Hasan","given":"Milena","non-dropping-particle":"","parse-names":false,"suffix":""},{"dropping-particle":"","family":"Hercberg","given":"Serge","non-dropping-particle":"","parse-names":false,"suffix":""},{"dropping-particle":"","family":"Lantz","given":"Olivier","non-dropping-particle":"","parse-names":false,"suffix":""},{"dropping-particle":"","family":"Leclerc","given":"Claude","non-dropping-particle":"","parse-names":false,"suffix":""},{"dropping-particle":"","family":"Mouquet","given":"Hugo","non-dropping-particle":"","parse-names":false,"suffix":""},{"dropping-particle":"","family":"Pellegrini","given":"Sandra","non-dropping-particle":"","parse-names":false,"suffix":""},{"dropping-particle":"","family":"Pol","given":"Stanislas","non-dropping-particle":"","parse-names":false,"suffix":""},{"dropping-particle":"","family":"Rausell","given":"Antonio","non-dropping-particle":"","parse-names":false,"suffix":""},{"dropping-particle":"","family":"Rogge","given":"Lars","non-dropping-particle":"","parse-names":false,"suffix":""},{"dropping-particle":"","family":"Sakuntabhai","given":"Anavaj","non-dropping-particle":"","parse-names":false,"suffix":""},{"dropping-particle":"","family":"Schwartz","given":"Olivier","non-dropping-particle":"","parse-names":false,"suffix":""},{"dropping-particle":"","family":"Schwikowski","given":"Benno","non-dropping-particle":"","parse-names":false,"suffix":""},{"dropping-particle":"","family":"Shorte","given":"Spencer","non-dropping-particle":"","parse-names":false,"suffix":""},{"dropping-particle":"","family":"Soumelis","given":"Vassili","non-dropping-particle":"","parse-names":false,"suffix":""},{"dropping-particle":"","family":"Tangy","given":"Frédéric","non-dropping-particle":"","parse-names":false,"suffix":""},{"dropping-particle":"","family":"Tartour","given":"Eric","non-dropping-particle":"","parse-names":false,"suffix":""},{"dropping-particle":"","family":"Toubert","given":"Antoine","non-dropping-particle":"","parse-names":false,"suffix":""},{"dropping-particle":"","family":"Touvier","given":"Mathilde","non-dropping-particle":"","parse-names":false,"suffix":""},{"dropping-particle":"","family":"Ungeheuer","given":"Marie-Noëlle","non-dropping-particle":"","parse-names":false,"suffix":""},{"dropping-particle":"","family":"Albert","given":"Matthew L","non-dropping-particle":"","parse-names":false,"suffix":""},{"dropping-particle":"","family":"Quintana-Murci","given":"Lluis","non-dropping-particle":"","parse-names":false,"suffix":""},{"dropping-particle":"","family":"Consortium","given":"The Milieu Intérieur","non-dropping-particle":"","parse-names":false,"suffix":""}],"container-title":"Microbiome","id":"ITEM-1","issue":"1","issued":{"date-parts":[["2019"]]},"page":"130","title":"A comprehensive assessment of demographic, environmental, and host genetic associations with gut microbiome diversity in healthy individuals","type":"article-journal","volume":"7"},"uris":["http://www.mendeley.com/documents/?uuid=4514ff9a-5e65-438e-bbec-eafc93393b5e"]}],"mendeley":{"formattedCitation":"(Scepanovic &lt;i&gt;et al.&lt;/i&gt;, 2019)","plainTextFormattedCitation":"(Scepanovic et al., 2019)","previouslyFormattedCitation":"(Scepanovic &lt;i&gt;et al.&lt;/i&gt;, 2019)"},"properties":{"noteIndex":0},"schema":"https://github.com/citation-style-language/schema/raw/master/csl-citation.json"}</w:instrText>
      </w:r>
      <w:r w:rsidR="00B64335">
        <w:rPr>
          <w:lang w:val="en-GB"/>
        </w:rPr>
        <w:fldChar w:fldCharType="separate"/>
      </w:r>
      <w:r w:rsidR="00B64335" w:rsidRPr="00B64335">
        <w:rPr>
          <w:noProof/>
          <w:lang w:val="en-GB"/>
        </w:rPr>
        <w:t xml:space="preserve">(Scepanovic </w:t>
      </w:r>
      <w:r w:rsidR="00B64335" w:rsidRPr="00B64335">
        <w:rPr>
          <w:i/>
          <w:noProof/>
          <w:lang w:val="en-GB"/>
        </w:rPr>
        <w:t>et al.</w:t>
      </w:r>
      <w:r w:rsidR="00B64335" w:rsidRPr="00B64335">
        <w:rPr>
          <w:noProof/>
          <w:lang w:val="en-GB"/>
        </w:rPr>
        <w:t>, 2019)</w:t>
      </w:r>
      <w:r w:rsidR="00B64335">
        <w:rPr>
          <w:lang w:val="en-GB"/>
        </w:rPr>
        <w:fldChar w:fldCharType="end"/>
      </w:r>
      <w:r w:rsidR="00267B58">
        <w:rPr>
          <w:lang w:val="en-GB"/>
        </w:rPr>
        <w:t>.</w:t>
      </w:r>
      <w:r w:rsidR="003F5543">
        <w:rPr>
          <w:lang w:val="en-GB"/>
        </w:rPr>
        <w:t xml:space="preserve"> </w:t>
      </w:r>
      <w:r w:rsidR="00B64335">
        <w:rPr>
          <w:lang w:val="en-GB"/>
        </w:rPr>
        <w:t xml:space="preserve">Variation in the demography or behaviour of the clinically ‘healthy’ individuals recruited in the present study may therefore account for the clustering of </w:t>
      </w:r>
      <w:r w:rsidR="001A572B">
        <w:rPr>
          <w:lang w:val="en-GB"/>
        </w:rPr>
        <w:t xml:space="preserve">the blood </w:t>
      </w:r>
      <w:r w:rsidR="00B64335">
        <w:rPr>
          <w:lang w:val="en-GB"/>
        </w:rPr>
        <w:t>microbial profiles.</w:t>
      </w:r>
      <w:r w:rsidR="000E5526">
        <w:rPr>
          <w:lang w:val="en-GB"/>
        </w:rPr>
        <w:t xml:space="preserve"> However, the unavailability of such </w:t>
      </w:r>
      <w:r w:rsidR="001A572B">
        <w:rPr>
          <w:lang w:val="en-GB"/>
        </w:rPr>
        <w:t>information</w:t>
      </w:r>
      <w:r w:rsidR="000E5526">
        <w:rPr>
          <w:lang w:val="en-GB"/>
        </w:rPr>
        <w:t xml:space="preserve"> precluded further analysis.</w:t>
      </w:r>
      <w:r w:rsidR="001A572B">
        <w:rPr>
          <w:lang w:val="en-GB"/>
        </w:rPr>
        <w:t xml:space="preserve"> </w:t>
      </w:r>
      <w:r w:rsidR="000E5526">
        <w:rPr>
          <w:lang w:val="en-GB"/>
        </w:rPr>
        <w:t xml:space="preserve">Overall, while the results hint at </w:t>
      </w:r>
      <w:r w:rsidR="00664593">
        <w:rPr>
          <w:lang w:val="en-GB"/>
        </w:rPr>
        <w:t>the presence of</w:t>
      </w:r>
      <w:r w:rsidR="000E5526">
        <w:rPr>
          <w:lang w:val="en-GB"/>
        </w:rPr>
        <w:t xml:space="preserve"> b</w:t>
      </w:r>
      <w:r w:rsidR="003E6736">
        <w:rPr>
          <w:lang w:val="en-GB"/>
        </w:rPr>
        <w:t>lood microbiome subtypes</w:t>
      </w:r>
      <w:r w:rsidR="000E5526">
        <w:rPr>
          <w:lang w:val="en-GB"/>
        </w:rPr>
        <w:t>, this</w:t>
      </w:r>
      <w:r w:rsidR="003E6736">
        <w:rPr>
          <w:lang w:val="en-GB"/>
        </w:rPr>
        <w:t xml:space="preserve"> needs to be evidenced by larger-scale experimental and </w:t>
      </w:r>
      <w:r w:rsidR="003E6736" w:rsidRPr="00C87EBE">
        <w:rPr>
          <w:i/>
          <w:iCs/>
          <w:lang w:val="en-GB"/>
        </w:rPr>
        <w:t>in silico</w:t>
      </w:r>
      <w:r w:rsidR="003E6736">
        <w:rPr>
          <w:lang w:val="en-GB"/>
        </w:rPr>
        <w:t xml:space="preserve"> investigations.</w:t>
      </w:r>
      <w:r w:rsidR="00960454">
        <w:rPr>
          <w:lang w:val="en-GB"/>
        </w:rPr>
        <w:t xml:space="preserve"> </w:t>
      </w:r>
    </w:p>
    <w:p w14:paraId="5D07DAFB" w14:textId="14BFFA7E" w:rsidR="00B87BC0" w:rsidRPr="00C217C3" w:rsidRDefault="004F5633" w:rsidP="00B87BC0">
      <w:pPr>
        <w:pStyle w:val="Heading2"/>
        <w:rPr>
          <w:lang w:val="en-GB"/>
        </w:rPr>
      </w:pPr>
      <w:r>
        <w:rPr>
          <w:lang w:val="en-GB"/>
        </w:rPr>
        <w:t>Practical i</w:t>
      </w:r>
      <w:r w:rsidR="00B87BC0">
        <w:rPr>
          <w:lang w:val="en-GB"/>
        </w:rPr>
        <w:t>mplications of</w:t>
      </w:r>
      <w:r w:rsidR="00E2652A">
        <w:rPr>
          <w:lang w:val="en-GB"/>
        </w:rPr>
        <w:t xml:space="preserve"> </w:t>
      </w:r>
      <w:r>
        <w:rPr>
          <w:lang w:val="en-GB"/>
        </w:rPr>
        <w:t>the potential blood microbiome</w:t>
      </w:r>
    </w:p>
    <w:p w14:paraId="2F574555" w14:textId="61DECA42" w:rsidR="00D16C5D" w:rsidRDefault="00CD5E25" w:rsidP="000A7306">
      <w:r>
        <w:t>Bacteria in the human microbiome</w:t>
      </w:r>
      <w:r w:rsidR="00913211">
        <w:t xml:space="preserve"> are known to interact extensively with their hosts.</w:t>
      </w:r>
      <w:r>
        <w:t xml:space="preserve"> For example, gut bacteria are known to convert tryptophan into a range of metabolites, some of which support intestinal barrier function while others suppress inflammation in humans</w:t>
      </w:r>
      <w:r w:rsidR="00196E25">
        <w:t xml:space="preserve"> </w:t>
      </w:r>
      <w:r w:rsidR="00196E25">
        <w:fldChar w:fldCharType="begin" w:fldLock="1"/>
      </w:r>
      <w:r w:rsidR="00D84081">
        <w:instrText>ADDIN CSL_CITATION {"citationItems":[{"id":"ITEM-1","itemData":{"DOI":"10.1038/s41467-018-05470-4","ISSN":"2041-1723","abstract":"Accumulating evidence implicates metabolites produced by gut microbes as crucial mediators of diet-induced host-microbial cross-talk. Here, we review emerging data suggesting that microbial tryptophan catabolites resulting from proteolysis are influencing host health. These metabolites are suggested to activate the immune system through binding to the aryl hydrocarbon receptor (AHR), enhance the intestinal epithelial barrier, stimulate gastrointestinal motility, as well as secretion of gut hormones, exert anti-inflammatory, anti-oxidative or toxic effects in systemic circulation, and putatively modulate gut microbial composition. Tryptophan catabolites thus affect various physiological processes and may contribute to intestinal and systemic homeostasis in health and disease.","author":[{"dropping-particle":"","family":"Roager","given":"Henrik M","non-dropping-particle":"","parse-names":false,"suffix":""},{"dropping-particle":"","family":"Licht","given":"Tine R","non-dropping-particle":"","parse-names":false,"suffix":""}],"container-title":"Nature Communications","id":"ITEM-1","issue":"1","issued":{"date-parts":[["2018"]]},"page":"3294","title":"Microbial tryptophan catabolites in health and disease","type":"article-journal","volume":"9"},"uris":["http://www.mendeley.com/documents/?uuid=e1c4d10c-b58b-4cd5-893b-bc89b255ff12"]}],"mendeley":{"formattedCitation":"(Roager and Licht, 2018)","plainTextFormattedCitation":"(Roager and Licht, 2018)","previouslyFormattedCitation":"(Roager and Licht, 2018)"},"properties":{"noteIndex":0},"schema":"https://github.com/citation-style-language/schema/raw/master/csl-citation.json"}</w:instrText>
      </w:r>
      <w:r w:rsidR="00196E25">
        <w:fldChar w:fldCharType="separate"/>
      </w:r>
      <w:r w:rsidR="00196E25" w:rsidRPr="00196E25">
        <w:rPr>
          <w:noProof/>
        </w:rPr>
        <w:t>(Roager and Licht, 2018)</w:t>
      </w:r>
      <w:r w:rsidR="00196E25">
        <w:fldChar w:fldCharType="end"/>
      </w:r>
      <w:r>
        <w:t>.</w:t>
      </w:r>
      <w:r w:rsidR="00196E25">
        <w:t xml:space="preserve"> </w:t>
      </w:r>
      <w:r w:rsidR="0061572E">
        <w:t xml:space="preserve">If a </w:t>
      </w:r>
      <w:r w:rsidR="00A265C0">
        <w:t>bacterial communit</w:t>
      </w:r>
      <w:r w:rsidR="0061572E">
        <w:t>y</w:t>
      </w:r>
      <w:r w:rsidR="00A265C0">
        <w:t xml:space="preserve"> resid</w:t>
      </w:r>
      <w:r w:rsidR="0061572E">
        <w:t>es</w:t>
      </w:r>
      <w:r w:rsidR="00A265C0">
        <w:t xml:space="preserve"> in the bloodstream</w:t>
      </w:r>
      <w:r w:rsidR="0061572E">
        <w:t>, its members are</w:t>
      </w:r>
      <w:r w:rsidR="00A265C0">
        <w:t xml:space="preserve"> also</w:t>
      </w:r>
      <w:r w:rsidR="0061572E">
        <w:t xml:space="preserve"> likely to</w:t>
      </w:r>
      <w:r w:rsidR="00A265C0">
        <w:t xml:space="preserve"> closely interact </w:t>
      </w:r>
      <w:r w:rsidR="0061572E">
        <w:t>with the host</w:t>
      </w:r>
      <w:r w:rsidR="00A265C0">
        <w:t xml:space="preserve">. </w:t>
      </w:r>
      <w:r w:rsidR="00401440">
        <w:t xml:space="preserve">However, it remains unclear </w:t>
      </w:r>
      <w:r w:rsidR="00E3210C">
        <w:t>how these interactions affect human health.</w:t>
      </w:r>
      <w:r w:rsidR="00314D93">
        <w:t xml:space="preserve"> </w:t>
      </w:r>
      <w:r w:rsidR="0044699E">
        <w:t xml:space="preserve">Bacteria </w:t>
      </w:r>
      <w:r w:rsidR="00641296">
        <w:t>in blood</w:t>
      </w:r>
      <w:r w:rsidR="0044699E">
        <w:t xml:space="preserve"> was suggested to pla</w:t>
      </w:r>
      <w:r w:rsidR="006A4724">
        <w:t xml:space="preserve">y a role in </w:t>
      </w:r>
      <w:r w:rsidR="00641296">
        <w:t>chronic inflammatory diseases such as Alzheimer’s disease</w:t>
      </w:r>
      <w:r w:rsidR="0044699E">
        <w:t xml:space="preserve"> </w:t>
      </w:r>
      <w:r w:rsidR="0044699E">
        <w:fldChar w:fldCharType="begin" w:fldLock="1"/>
      </w:r>
      <w:r w:rsidR="0044699E">
        <w:instrText>ADDIN CSL_CITATION {"citationItems":[{"id":"ITEM-1","itemData":{"DOI":"10.1093/femsre/fuv013","ISSN":"0168-6445","abstract":"Blood in healthy organisms is seen as a ‘sterile’ environment: it lacks proliferating microbes. Dormant or not-immediately-culturable forms are not absent, however, as intracellular dormancy is well established. We highlight here that a great many pathogens can survive in blood and inside erythrocytes. ‘Non-culturability’, reflected by discrepancies between plate counts and total counts, is commonplace in environmental microbiology. It is overcome by improved culturing methods, and we asked how common this would be in blood. A number of recent, sequence-based and ultramicroscopic studies have uncovered an authentic blood microbiome in a number of non-communicable diseases. The chief origin of these microbes is the gut microbiome (especially when it shifts composition to a pathogenic state, known as ‘dysbiosis’). Another source is microbes translocated from the oral cavity. ‘Dysbiosis’ is also used to describe translocation of cells into blood or other tissues. To avoid ambiguity, we here use the term ‘atopobiosis’ for microbes that appear in places other than their normal location. Atopobiosis may contribute to the dynamics of a variety of inflammatory diseases. Overall, it seems that many more chronic, non-communicable, inflammatory diseases may have a microbial component than are presently considered, and may be treatable using bactericidal antibiotics or vaccines.","author":[{"dropping-particle":"","family":"Potgieter","given":"Marnie","non-dropping-particle":"","parse-names":false,"suffix":""},{"dropping-particle":"","family":"Bester","given":"Janette","non-dropping-particle":"","parse-names":false,"suffix":""},{"dropping-particle":"","family":"Kell","given":"Douglas B","non-dropping-particle":"","parse-names":false,"suffix":""},{"dropping-particle":"","family":"Pretorius","given":"Etheresia","non-dropping-particle":"","parse-names":false,"suffix":""}],"container-title":"FEMS Microbiology Reviews","id":"ITEM-1","issue":"4","issued":{"date-parts":[["2015","7","1"]]},"page":"567-591","title":"The dormant blood microbiome in chronic, inflammatory diseases","type":"article-journal","volume":"39"},"uris":["http://www.mendeley.com/documents/?uuid=4a6ad771-534f-45df-9f90-aaaa92faf467"]}],"mendeley":{"formattedCitation":"(Potgieter &lt;i&gt;et al.&lt;/i&gt;, 2015)","plainTextFormattedCitation":"(Potgieter et al., 2015)","previouslyFormattedCitation":"(Potgieter &lt;i&gt;et al.&lt;/i&gt;, 2015)"},"properties":{"noteIndex":0},"schema":"https://github.com/citation-style-language/schema/raw/master/csl-citation.json"}</w:instrText>
      </w:r>
      <w:r w:rsidR="0044699E">
        <w:fldChar w:fldCharType="separate"/>
      </w:r>
      <w:r w:rsidR="0044699E" w:rsidRPr="0044699E">
        <w:rPr>
          <w:noProof/>
        </w:rPr>
        <w:t xml:space="preserve">(Potgieter </w:t>
      </w:r>
      <w:r w:rsidR="0044699E" w:rsidRPr="0044699E">
        <w:rPr>
          <w:i/>
          <w:noProof/>
        </w:rPr>
        <w:t>et al.</w:t>
      </w:r>
      <w:r w:rsidR="0044699E" w:rsidRPr="0044699E">
        <w:rPr>
          <w:noProof/>
        </w:rPr>
        <w:t>, 2015)</w:t>
      </w:r>
      <w:r w:rsidR="0044699E">
        <w:fldChar w:fldCharType="end"/>
      </w:r>
      <w:r w:rsidR="00641296">
        <w:t xml:space="preserve">. </w:t>
      </w:r>
      <w:r w:rsidR="0044699E">
        <w:t xml:space="preserve">Additionally, </w:t>
      </w:r>
      <w:r w:rsidR="00641296">
        <w:t xml:space="preserve">the presence of </w:t>
      </w:r>
      <w:r w:rsidR="00641296" w:rsidRPr="007C5CDC">
        <w:rPr>
          <w:i/>
          <w:iCs/>
        </w:rPr>
        <w:t>Acinetobacter</w:t>
      </w:r>
      <w:r w:rsidR="00641296">
        <w:t xml:space="preserve"> </w:t>
      </w:r>
      <w:r w:rsidR="00641296" w:rsidRPr="007C5CDC">
        <w:rPr>
          <w:i/>
          <w:iCs/>
        </w:rPr>
        <w:t>Baumanii</w:t>
      </w:r>
      <w:r w:rsidR="00641296">
        <w:t xml:space="preserve"> </w:t>
      </w:r>
      <w:r w:rsidR="00EC55DE">
        <w:t xml:space="preserve">sequences </w:t>
      </w:r>
      <w:r w:rsidR="00641296">
        <w:t xml:space="preserve">in the blood of type II diabetic patients </w:t>
      </w:r>
      <w:r w:rsidR="00EC55DE">
        <w:t xml:space="preserve">was positively correlated with </w:t>
      </w:r>
      <w:r w:rsidR="00641296">
        <w:t xml:space="preserve">levels of </w:t>
      </w:r>
      <w:r w:rsidR="00EC55DE">
        <w:t>proinflammatory cytokines</w:t>
      </w:r>
      <w:r w:rsidR="00641296">
        <w:t>,</w:t>
      </w:r>
      <w:r w:rsidR="00EC55DE">
        <w:t xml:space="preserve"> and associated with chronic inflammation</w:t>
      </w:r>
      <w:r w:rsidR="00641296">
        <w:t xml:space="preserve"> </w:t>
      </w:r>
      <w:r w:rsidR="00641296">
        <w:fldChar w:fldCharType="begin" w:fldLock="1"/>
      </w:r>
      <w:r w:rsidR="00641296">
        <w:instrText>ADDIN CSL_CITATION {"citationItems":[{"id":"ITEM-1","itemData":{"ISSN":"2589-0042","author":[{"dropping-particle":"","family":"Perera","given":"Dasith","non-dropping-particle":"","parse-names":false,"suffix":""},{"dropping-particle":"","family":"Kleinstein","given":"Sarah E","non-dropping-particle":"","parse-names":false,"suffix":""},{"dropping-particle":"","family":"Hanson","given":"Benjamin","non-dropping-particle":"","parse-names":false,"suffix":""},{"dropping-particle":"","family":"Hasturk","given":"Hatice","non-dropping-particle":"","parse-names":false,"suffix":""},{"dropping-particle":"","family":"Eveloff","given":"Ryan","non-dropping-particle":"","parse-names":false,"suffix":""},{"dropping-particle":"","family":"Freire","given":"Marcelo","non-dropping-particle":"","parse-names":false,"suffix":""},{"dropping-particle":"","family":"Ramsey","given":"Matthew","non-dropping-particle":"","parse-names":false,"suffix":""}],"container-title":"Iscience","id":"ITEM-1","issue":"1","issued":{"date-parts":[["2021"]]},"page":"101941","publisher":"Elsevier","title":"Impaired host response and the presence of Acinetobacter baumannii in the serum microbiome of type-II diabetic patients","type":"article-journal","volume":"24"},"uris":["http://www.mendeley.com/documents/?uuid=7ea1491e-4cc7-4433-b53d-db1d6c7b2f2f"]}],"mendeley":{"formattedCitation":"(Perera &lt;i&gt;et al.&lt;/i&gt;, 2021)","plainTextFormattedCitation":"(Perera et al., 2021)","previouslyFormattedCitation":"(Perera &lt;i&gt;et al.&lt;/i&gt;, 2021)"},"properties":{"noteIndex":0},"schema":"https://github.com/citation-style-language/schema/raw/master/csl-citation.json"}</w:instrText>
      </w:r>
      <w:r w:rsidR="00641296">
        <w:fldChar w:fldCharType="separate"/>
      </w:r>
      <w:r w:rsidR="00641296" w:rsidRPr="007C5CDC">
        <w:rPr>
          <w:noProof/>
        </w:rPr>
        <w:t xml:space="preserve">(Perera </w:t>
      </w:r>
      <w:r w:rsidR="00641296" w:rsidRPr="007C5CDC">
        <w:rPr>
          <w:i/>
          <w:noProof/>
        </w:rPr>
        <w:t>et al.</w:t>
      </w:r>
      <w:r w:rsidR="00641296" w:rsidRPr="007C5CDC">
        <w:rPr>
          <w:noProof/>
        </w:rPr>
        <w:t>, 2021)</w:t>
      </w:r>
      <w:r w:rsidR="00641296">
        <w:fldChar w:fldCharType="end"/>
      </w:r>
      <w:r w:rsidR="00EC55DE">
        <w:t>.</w:t>
      </w:r>
      <w:r w:rsidR="00D16C5D">
        <w:t xml:space="preserve"> These findings suggest that bacterial residents in blood </w:t>
      </w:r>
      <w:r w:rsidR="00F527EA">
        <w:t>may</w:t>
      </w:r>
      <w:r w:rsidR="00D16C5D">
        <w:t xml:space="preserve"> play a role in human health and disease. </w:t>
      </w:r>
      <w:r w:rsidR="00220967">
        <w:t>If so, information about these interactions</w:t>
      </w:r>
      <w:r w:rsidR="00D16C5D">
        <w:t xml:space="preserve"> may be harnessed to develop microbiome-based therapeutics. </w:t>
      </w:r>
    </w:p>
    <w:p w14:paraId="44B7CC6E" w14:textId="699C7183" w:rsidR="000A7306" w:rsidRDefault="00220967" w:rsidP="000A7306">
      <w:pPr>
        <w:rPr>
          <w:lang w:val="en-GB"/>
        </w:rPr>
      </w:pPr>
      <w:r>
        <w:t>Further</w:t>
      </w:r>
      <w:r w:rsidR="00D16C5D">
        <w:t>,</w:t>
      </w:r>
      <w:r w:rsidR="00230A0D">
        <w:rPr>
          <w:lang w:val="en-GB"/>
        </w:rPr>
        <w:t xml:space="preserve"> </w:t>
      </w:r>
      <w:r>
        <w:rPr>
          <w:lang w:val="en-GB"/>
        </w:rPr>
        <w:t xml:space="preserve">the </w:t>
      </w:r>
      <w:r w:rsidR="00444A26">
        <w:rPr>
          <w:lang w:val="en-GB"/>
        </w:rPr>
        <w:t xml:space="preserve">abundance of </w:t>
      </w:r>
      <w:r w:rsidR="003D724D">
        <w:rPr>
          <w:lang w:val="en-GB"/>
        </w:rPr>
        <w:t xml:space="preserve">certain </w:t>
      </w:r>
      <w:r w:rsidR="00D16C5D">
        <w:rPr>
          <w:lang w:val="en-GB"/>
        </w:rPr>
        <w:t>bacterial taxa</w:t>
      </w:r>
      <w:r w:rsidR="00444A26">
        <w:rPr>
          <w:lang w:val="en-GB"/>
        </w:rPr>
        <w:t xml:space="preserve"> in</w:t>
      </w:r>
      <w:r w:rsidR="000A7306">
        <w:rPr>
          <w:lang w:val="en-GB"/>
        </w:rPr>
        <w:t xml:space="preserve"> blood</w:t>
      </w:r>
      <w:r w:rsidR="003D724D">
        <w:rPr>
          <w:lang w:val="en-GB"/>
        </w:rPr>
        <w:t xml:space="preserve"> has been</w:t>
      </w:r>
      <w:r>
        <w:rPr>
          <w:lang w:val="en-GB"/>
        </w:rPr>
        <w:t xml:space="preserve"> </w:t>
      </w:r>
      <w:r w:rsidR="00230A0D">
        <w:rPr>
          <w:lang w:val="en-GB"/>
        </w:rPr>
        <w:t>associated with</w:t>
      </w:r>
      <w:r w:rsidR="000A7306">
        <w:rPr>
          <w:lang w:val="en-GB"/>
        </w:rPr>
        <w:t xml:space="preserve"> health status. For example, </w:t>
      </w:r>
      <w:r w:rsidR="00444A26" w:rsidRPr="00444A26">
        <w:rPr>
          <w:i/>
          <w:iCs/>
          <w:lang w:val="en-GB"/>
        </w:rPr>
        <w:t>Klebsiella</w:t>
      </w:r>
      <w:r w:rsidR="00444A26">
        <w:rPr>
          <w:lang w:val="en-GB"/>
        </w:rPr>
        <w:t xml:space="preserve"> and </w:t>
      </w:r>
      <w:r w:rsidR="00444A26" w:rsidRPr="00444A26">
        <w:rPr>
          <w:i/>
          <w:iCs/>
          <w:lang w:val="en-GB"/>
        </w:rPr>
        <w:t>Acinetobacter</w:t>
      </w:r>
      <w:r w:rsidR="000A7306">
        <w:rPr>
          <w:lang w:val="en-GB"/>
        </w:rPr>
        <w:t xml:space="preserve"> </w:t>
      </w:r>
      <w:r w:rsidR="00766EF5">
        <w:rPr>
          <w:lang w:val="en-GB"/>
        </w:rPr>
        <w:t xml:space="preserve">were enriched in the </w:t>
      </w:r>
      <w:r w:rsidR="000A7306">
        <w:rPr>
          <w:lang w:val="en-GB"/>
        </w:rPr>
        <w:t>blood of hepatocellular carcinoma</w:t>
      </w:r>
      <w:r w:rsidR="00766EF5">
        <w:rPr>
          <w:lang w:val="en-GB"/>
        </w:rPr>
        <w:t xml:space="preserve"> patients</w:t>
      </w:r>
      <w:r w:rsidR="000A7306">
        <w:rPr>
          <w:lang w:val="en-GB"/>
        </w:rPr>
        <w:t xml:space="preserve"> </w:t>
      </w:r>
      <w:r w:rsidR="000A7306">
        <w:rPr>
          <w:lang w:val="en-GB"/>
        </w:rPr>
        <w:fldChar w:fldCharType="begin" w:fldLock="1"/>
      </w:r>
      <w:r w:rsidR="000A7306">
        <w:rPr>
          <w:lang w:val="en-GB"/>
        </w:rPr>
        <w:instrText>ADDIN CSL_CITATION {"citationItems":[{"id":"ITEM-1","itemData":{"DOI":"10.1038/s41598-019-44012-w","ISSN":"2045-2322","abstract":"Circulating microbial dysbiosis is associated with chronic liver disease including nonalcoholic steatohepatitis and alcoholic liver disease. In this study, we evaluated whether disease-specific alterations of circulating microbiome are present in patients with cirrhosis and hepatocellular carcinoma (HCC), and their potential as diagnostic biomarkers for HCC. We performed cross-sectional metagenomic analyses of serum samples from 79 patients with HCC, 83 with cirrhosis, and 201 matching healthy controls, and validated the results in the same number of subjects. Serum bacterial DNA was analyzed using high-throughput pyrosequencing after amplification of the V3–V4 hypervariable regions of 16S rDNA. Blood microbial diversity was significantly reduced in HCC, compared with cirrhosis and control. There were significant differences in the relative abundances of several bacterial taxa that correlate with the presence of HCC, thus defining a specific blood microbiome-derived metagenomic signature of HCC. We identified 5 microbial gene markers-based model which distinguished HCC from controls with an area under the receiver-operating curve (AUC) of 0.879 and a balanced accuracy of 81.6%. In the validation, this model accurately distinguished HCC with an AUC of 0.875 and an accuracy of 79.8%. In conclusion, circulating microbiome-based signatures may be potential biomarkers for the detection HCC.","author":[{"dropping-particle":"","family":"Cho","given":"Eun Ju","non-dropping-particle":"","parse-names":false,"suffix":""},{"dropping-particle":"","family":"Leem","given":"Sangseob","non-dropping-particle":"","parse-names":false,"suffix":""},{"dropping-particle":"","family":"Kim","given":"Sun Ah","non-dropping-particle":"","parse-names":false,"suffix":""},{"dropping-particle":"","family":"Yang","given":"Jinho","non-dropping-particle":"","parse-names":false,"suffix":""},{"dropping-particle":"Bin","family":"Lee","given":"Yun","non-dropping-particle":"","parse-names":false,"suffix":""},{"dropping-particle":"","family":"Kim","given":"Soon Sun","non-dropping-particle":"","parse-names":false,"suffix":""},{"dropping-particle":"","family":"Cheong","given":"Jae Youn","non-dropping-particle":"","parse-names":false,"suffix":""},{"dropping-particle":"","family":"Cho","given":"Sung Won","non-dropping-particle":"","parse-names":false,"suffix":""},{"dropping-particle":"","family":"Kim","given":"Ji Won","non-dropping-particle":"","parse-names":false,"suffix":""},{"dropping-particle":"","family":"Kim","given":"Sung-Min","non-dropping-particle":"","parse-names":false,"suffix":""},{"dropping-particle":"","family":"Yoon","given":"Jung-Hwan","non-dropping-particle":"","parse-names":false,"suffix":""},{"dropping-particle":"","family":"Park","given":"Taesung","non-dropping-particle":"","parse-names":false,"suffix":""}],"container-title":"Scientific Reports","id":"ITEM-1","issue":"1","issued":{"date-parts":[["2019"]]},"page":"7536","title":"Circulating Microbiota-Based Metagenomic Signature for Detection of Hepatocellular Carcinoma","type":"article-journal","volume":"9"},"uris":["http://www.mendeley.com/documents/?uuid=4a71bfff-631b-4716-b860-dffe8f89f773"]}],"mendeley":{"formattedCitation":"(Cho &lt;i&gt;et al.&lt;/i&gt;, 2019)","plainTextFormattedCitation":"(Cho et al., 2019)","previouslyFormattedCitation":"(Cho &lt;i&gt;et al.&lt;/i&gt;, 2019)"},"properties":{"noteIndex":0},"schema":"https://github.com/citation-style-language/schema/raw/master/csl-citation.json"}</w:instrText>
      </w:r>
      <w:r w:rsidR="000A7306">
        <w:rPr>
          <w:lang w:val="en-GB"/>
        </w:rPr>
        <w:fldChar w:fldCharType="separate"/>
      </w:r>
      <w:r w:rsidR="000A7306" w:rsidRPr="00C17E96">
        <w:rPr>
          <w:noProof/>
          <w:lang w:val="en-GB"/>
        </w:rPr>
        <w:t xml:space="preserve">(Cho </w:t>
      </w:r>
      <w:r w:rsidR="000A7306" w:rsidRPr="00C17E96">
        <w:rPr>
          <w:i/>
          <w:noProof/>
          <w:lang w:val="en-GB"/>
        </w:rPr>
        <w:t>et al.</w:t>
      </w:r>
      <w:r w:rsidR="000A7306" w:rsidRPr="00C17E96">
        <w:rPr>
          <w:noProof/>
          <w:lang w:val="en-GB"/>
        </w:rPr>
        <w:t>, 2019)</w:t>
      </w:r>
      <w:r w:rsidR="000A7306">
        <w:rPr>
          <w:lang w:val="en-GB"/>
        </w:rPr>
        <w:fldChar w:fldCharType="end"/>
      </w:r>
      <w:r w:rsidR="00766EF5">
        <w:rPr>
          <w:lang w:val="en-GB"/>
        </w:rPr>
        <w:t xml:space="preserve"> while </w:t>
      </w:r>
      <w:r w:rsidR="00766EF5" w:rsidRPr="00D16C5D">
        <w:rPr>
          <w:i/>
          <w:iCs/>
          <w:lang w:val="en-GB"/>
        </w:rPr>
        <w:t>Staphylococcus</w:t>
      </w:r>
      <w:r w:rsidR="00766EF5">
        <w:rPr>
          <w:lang w:val="en-GB"/>
        </w:rPr>
        <w:t xml:space="preserve"> was more abundant in celiac disease patients </w:t>
      </w:r>
      <w:r w:rsidR="00766EF5">
        <w:rPr>
          <w:lang w:val="en-GB"/>
        </w:rPr>
        <w:fldChar w:fldCharType="begin" w:fldLock="1"/>
      </w:r>
      <w:r w:rsidR="00766EF5">
        <w:rPr>
          <w:lang w:val="en-GB"/>
        </w:rPr>
        <w:instrText>ADDIN CSL_CITATION {"citationItems":[{"id":"ITEM-1","itemData":{"DOI":"https://doi.org/10.1016/j.humic.2018.12.001","ISSN":"2452-2317","abstract":"Celiac disease is a multifactorial autoimmune enteropathy triggered by ingestion of gluten in genetically predisposed individuals. The increase of incidence in celiac disease suggests that additional environmental factors other than gluten may contribute to its onset and development. While intestinal dysbiosis has already been associated with celiac disease, the role that the blood microbiome plays in the loss of tolerance to gluten is unknown. In this study we aimed at evaluating weather celiac patients are characterized by alterations in the blood microbiome and how these changes may relate to the intestinal microbiome composition and, ultimately, to the loss of tolerance to gluten. Our data highlight alterations in the blood microbiome composition and taxonomic diversity in celiac patients as compared to healthy subjects. Although preliminary, these findings suggest that changes in the blood microbiome may contribute to the pathogenesis of celiac disease and open the possibility of new therapeutic and diagnostic tools for celiac patients.","author":[{"dropping-particle":"","family":"Serena","given":"Gloria","non-dropping-particle":"","parse-names":false,"suffix":""},{"dropping-particle":"","family":"Davies","given":"Camron","non-dropping-particle":"","parse-names":false,"suffix":""},{"dropping-particle":"","family":"Cetinbas","given":"Murat","non-dropping-particle":"","parse-names":false,"suffix":""},{"dropping-particle":"","family":"Sadreyev","given":"Ruslan I","non-dropping-particle":"","parse-names":false,"suffix":""},{"dropping-particle":"","family":"Fasano","given":"Alessio","non-dropping-particle":"","parse-names":false,"suffix":""}],"container-title":"Human Microbiome Journal","id":"ITEM-1","issued":{"date-parts":[["2019"]]},"page":"100049","title":"Analysis of blood and fecal microbiome profile in patients with celiac disease","type":"article-journal","volume":"11"},"uris":["http://www.mendeley.com/documents/?uuid=81899c15-bfce-47e6-8d17-77265a8c5a4c"]}],"mendeley":{"formattedCitation":"(Serena &lt;i&gt;et al.&lt;/i&gt;, 2019)","plainTextFormattedCitation":"(Serena et al., 2019)"},"properties":{"noteIndex":0},"schema":"https://github.com/citation-style-language/schema/raw/master/csl-citation.json"}</w:instrText>
      </w:r>
      <w:r w:rsidR="00766EF5">
        <w:rPr>
          <w:lang w:val="en-GB"/>
        </w:rPr>
        <w:fldChar w:fldCharType="separate"/>
      </w:r>
      <w:r w:rsidR="00766EF5" w:rsidRPr="00766EF5">
        <w:rPr>
          <w:noProof/>
          <w:lang w:val="en-GB"/>
        </w:rPr>
        <w:t xml:space="preserve">(Serena </w:t>
      </w:r>
      <w:r w:rsidR="00766EF5" w:rsidRPr="00766EF5">
        <w:rPr>
          <w:i/>
          <w:noProof/>
          <w:lang w:val="en-GB"/>
        </w:rPr>
        <w:t>et al.</w:t>
      </w:r>
      <w:r w:rsidR="00766EF5" w:rsidRPr="00766EF5">
        <w:rPr>
          <w:noProof/>
          <w:lang w:val="en-GB"/>
        </w:rPr>
        <w:t>, 2019)</w:t>
      </w:r>
      <w:r w:rsidR="00766EF5">
        <w:rPr>
          <w:lang w:val="en-GB"/>
        </w:rPr>
        <w:fldChar w:fldCharType="end"/>
      </w:r>
      <w:r w:rsidR="00766EF5">
        <w:rPr>
          <w:lang w:val="en-GB"/>
        </w:rPr>
        <w:t>.</w:t>
      </w:r>
      <w:r>
        <w:rPr>
          <w:lang w:val="en-GB"/>
        </w:rPr>
        <w:t xml:space="preserve"> </w:t>
      </w:r>
      <w:r w:rsidR="008135C2">
        <w:rPr>
          <w:lang w:val="en-GB"/>
        </w:rPr>
        <w:t xml:space="preserve">Such associations can be learnt by machine learning models for </w:t>
      </w:r>
      <w:r w:rsidR="00322E0B">
        <w:rPr>
          <w:lang w:val="en-GB"/>
        </w:rPr>
        <w:t xml:space="preserve">developing </w:t>
      </w:r>
      <w:r w:rsidR="008135C2">
        <w:rPr>
          <w:lang w:val="en-GB"/>
        </w:rPr>
        <w:t>diagno</w:t>
      </w:r>
      <w:r w:rsidR="00322E0B">
        <w:rPr>
          <w:lang w:val="en-GB"/>
        </w:rPr>
        <w:t xml:space="preserve">stic tools. </w:t>
      </w:r>
      <w:r w:rsidR="004F5633">
        <w:rPr>
          <w:lang w:val="en-GB"/>
        </w:rPr>
        <w:t>Additionally</w:t>
      </w:r>
      <w:r w:rsidR="00322E0B">
        <w:rPr>
          <w:lang w:val="en-GB"/>
        </w:rPr>
        <w:t>, these associations may be used</w:t>
      </w:r>
      <w:r w:rsidR="008135C2">
        <w:rPr>
          <w:lang w:val="en-GB"/>
        </w:rPr>
        <w:t xml:space="preserve"> </w:t>
      </w:r>
      <w:r w:rsidR="0018192E">
        <w:rPr>
          <w:lang w:val="en-GB"/>
        </w:rPr>
        <w:t xml:space="preserve">to determine an individual’s predisposition to disease, or </w:t>
      </w:r>
      <w:r w:rsidR="008135C2">
        <w:rPr>
          <w:lang w:val="en-GB"/>
        </w:rPr>
        <w:t>for predicting disease onset (</w:t>
      </w:r>
      <w:r w:rsidR="008135C2" w:rsidRPr="007F0390">
        <w:rPr>
          <w:i/>
          <w:iCs/>
          <w:lang w:val="en-GB"/>
        </w:rPr>
        <w:t>i.e.</w:t>
      </w:r>
      <w:r w:rsidR="008135C2">
        <w:rPr>
          <w:lang w:val="en-GB"/>
        </w:rPr>
        <w:t xml:space="preserve"> prognosis)</w:t>
      </w:r>
      <w:r w:rsidR="0018192E">
        <w:rPr>
          <w:lang w:val="en-GB"/>
        </w:rPr>
        <w:t>. This would</w:t>
      </w:r>
      <w:r w:rsidR="00322E0B">
        <w:rPr>
          <w:lang w:val="en-GB"/>
        </w:rPr>
        <w:t xml:space="preserve"> </w:t>
      </w:r>
      <w:r w:rsidR="0018192E">
        <w:rPr>
          <w:lang w:val="en-GB"/>
        </w:rPr>
        <w:t xml:space="preserve">permit measures for disease </w:t>
      </w:r>
      <w:r w:rsidR="00322E0B">
        <w:rPr>
          <w:lang w:val="en-GB"/>
        </w:rPr>
        <w:t>prevention or early intervention</w:t>
      </w:r>
      <w:r w:rsidR="0018192E">
        <w:rPr>
          <w:lang w:val="en-GB"/>
        </w:rPr>
        <w:t>.</w:t>
      </w:r>
      <w:r w:rsidR="007F0390">
        <w:rPr>
          <w:lang w:val="en-GB"/>
        </w:rPr>
        <w:t xml:space="preserve"> </w:t>
      </w:r>
    </w:p>
    <w:p w14:paraId="71DBCE44" w14:textId="25DD9C0B" w:rsidR="00F00F3A" w:rsidRPr="00F00F3A" w:rsidRDefault="004109C5" w:rsidP="00F00F3A">
      <w:pPr>
        <w:pStyle w:val="Heading2"/>
      </w:pPr>
      <w:r>
        <w:lastRenderedPageBreak/>
        <w:t>L</w:t>
      </w:r>
      <w:r w:rsidR="00F00F3A">
        <w:t>imitations</w:t>
      </w:r>
      <w:r w:rsidR="009A2F9A">
        <w:t xml:space="preserve"> and suggestions</w:t>
      </w:r>
    </w:p>
    <w:p w14:paraId="3ADBD8DA" w14:textId="69F378EE" w:rsidR="003B6614" w:rsidRDefault="00BA7FDE" w:rsidP="006C7246">
      <w:pPr>
        <w:rPr>
          <w:rFonts w:eastAsia="Times New Roman" w:cs="Times New Roman"/>
          <w:szCs w:val="24"/>
          <w:lang w:val="en-GB"/>
        </w:rPr>
      </w:pPr>
      <w:r>
        <w:rPr>
          <w:lang w:val="en-GB"/>
        </w:rPr>
        <w:t>This study focused on contamination arising from reagents during library preparation and sequencing.</w:t>
      </w:r>
      <w:r w:rsidR="00CE7FE6">
        <w:rPr>
          <w:lang w:val="en-GB"/>
        </w:rPr>
        <w:t xml:space="preserve"> </w:t>
      </w:r>
      <w:r>
        <w:rPr>
          <w:lang w:val="en-GB"/>
        </w:rPr>
        <w:t xml:space="preserve">However, </w:t>
      </w:r>
      <w:r w:rsidR="0035420A">
        <w:rPr>
          <w:lang w:val="en-GB"/>
        </w:rPr>
        <w:t xml:space="preserve">contaminant microbial sequences may be introduced at any step along the process from sample collection to sequence. Ideally, appropriate negative controls for each sample processing step should be included. For example, </w:t>
      </w:r>
      <w:r w:rsidR="00937B83">
        <w:rPr>
          <w:lang w:val="en-GB"/>
        </w:rPr>
        <w:fldChar w:fldCharType="begin" w:fldLock="1"/>
      </w:r>
      <w:r w:rsidR="00D25F22">
        <w:rPr>
          <w:lang w:val="en-GB"/>
        </w:rPr>
        <w:instrText>ADDIN CSL_CITATION {"citationItems":[{"id":"ITEM-1","itemData":{"ISSN":"0385-5600","author":[{"dropping-particle":"","family":"Moriyama","given":"Kosei","non-dropping-particle":"","parse-names":false,"suffix":""},{"dropping-particle":"","family":"Ando","given":"Chie","non-dropping-particle":"","parse-names":false,"suffix":""},{"dropping-particle":"","family":"Tashiro","given":"Kosuke","non-dropping-particle":"","parse-names":false,"suffix":""},{"dropping-particle":"","family":"Kuhara","given":"Satoru","non-dropping-particle":"","parse-names":false,"suffix":""},{"dropping-particle":"","family":"Okamura","given":"Seiichi","non-dropping-particle":"","parse-names":false,"suffix":""},{"dropping-particle":"","family":"Nakano","given":"Shuji","non-dropping-particle":"","parse-names":false,"suffix":""},{"dropping-particle":"","family":"Takagi","given":"Yasumitsu","non-dropping-particle":"","parse-names":false,"suffix":""},{"dropping-particle":"","family":"Miki","given":"Takeyoshi","non-dropping-particle":"","parse-names":false,"suffix":""},{"dropping-particle":"","family":"Nakashima","given":"Yoshiyuki","non-dropping-particle":"","parse-names":false,"suffix":""},{"dropping-particle":"","family":"Hirakawa","given":"Hideki","non-dropping-particle":"","parse-names":false,"suffix":""}],"container-title":"Microbiology and immunology","id":"ITEM-1","issue":"7","issued":{"date-parts":[["2008"]]},"page":"375-382","publisher":"Wiley Online Library","title":"Polymerase chain reaction detection of bacterial 16S rRNA gene in human blood","type":"article-journal","volume":"52"},"uris":["http://www.mendeley.com/documents/?uuid=a0ec0edd-a55b-4e46-8004-4ef3064cc620"]}],"mendeley":{"formattedCitation":"(Moriyama &lt;i&gt;et al.&lt;/i&gt;, 2008)","manualFormatting":"Moriyama et al. (2008)","plainTextFormattedCitation":"(Moriyama et al., 2008)","previouslyFormattedCitation":"(Moriyama &lt;i&gt;et al.&lt;/i&gt;, 2008)"},"properties":{"noteIndex":0},"schema":"https://github.com/citation-style-language/schema/raw/master/csl-citation.json"}</w:instrText>
      </w:r>
      <w:r w:rsidR="00937B83">
        <w:rPr>
          <w:lang w:val="en-GB"/>
        </w:rPr>
        <w:fldChar w:fldCharType="separate"/>
      </w:r>
      <w:r w:rsidR="00937B83" w:rsidRPr="00937B83">
        <w:rPr>
          <w:noProof/>
          <w:lang w:val="en-GB"/>
        </w:rPr>
        <w:t xml:space="preserve">Moriyama </w:t>
      </w:r>
      <w:r w:rsidR="00937B83" w:rsidRPr="00937B83">
        <w:rPr>
          <w:i/>
          <w:noProof/>
          <w:lang w:val="en-GB"/>
        </w:rPr>
        <w:t>et al.</w:t>
      </w:r>
      <w:r w:rsidR="00937B83">
        <w:rPr>
          <w:i/>
          <w:noProof/>
          <w:lang w:val="en-GB"/>
        </w:rPr>
        <w:t xml:space="preserve"> </w:t>
      </w:r>
      <w:r w:rsidR="00937B83" w:rsidRPr="00937B83">
        <w:rPr>
          <w:iCs/>
          <w:noProof/>
          <w:lang w:val="en-GB"/>
        </w:rPr>
        <w:t>(</w:t>
      </w:r>
      <w:r w:rsidR="00937B83" w:rsidRPr="00937B83">
        <w:rPr>
          <w:noProof/>
          <w:lang w:val="en-GB"/>
        </w:rPr>
        <w:t>2008)</w:t>
      </w:r>
      <w:r w:rsidR="00937B83">
        <w:rPr>
          <w:lang w:val="en-GB"/>
        </w:rPr>
        <w:fldChar w:fldCharType="end"/>
      </w:r>
      <w:r w:rsidR="0035420A">
        <w:rPr>
          <w:lang w:val="en-GB"/>
        </w:rPr>
        <w:t xml:space="preserve"> </w:t>
      </w:r>
      <w:r w:rsidR="00937B83">
        <w:rPr>
          <w:lang w:val="en-GB"/>
        </w:rPr>
        <w:t>used saline water exposed to povidone-iodine skin as a negative control for phlebotomy-associated contamination.</w:t>
      </w:r>
      <w:r w:rsidR="00F577DE">
        <w:rPr>
          <w:lang w:val="en-GB"/>
        </w:rPr>
        <w:t xml:space="preserve"> </w:t>
      </w:r>
      <w:r w:rsidR="00405C71">
        <w:rPr>
          <w:lang w:val="en-GB"/>
        </w:rPr>
        <w:t xml:space="preserve">Additionally, DNA extraction can be performed on skin-exposed saline water to control for extraction-associated contamination. Alternatively, sterile water can be used in place of </w:t>
      </w:r>
      <w:r w:rsidR="0060459C">
        <w:rPr>
          <w:lang w:val="en-GB"/>
        </w:rPr>
        <w:t xml:space="preserve">blood during DNA extraction. Comparisons of microbial </w:t>
      </w:r>
      <w:r w:rsidR="007901F0">
        <w:rPr>
          <w:lang w:val="en-GB"/>
        </w:rPr>
        <w:t xml:space="preserve">taxonomic profiles </w:t>
      </w:r>
      <w:r w:rsidR="0060459C">
        <w:rPr>
          <w:lang w:val="en-GB"/>
        </w:rPr>
        <w:t xml:space="preserve">obtained from these different controls </w:t>
      </w:r>
      <w:r w:rsidR="00BE55F0">
        <w:rPr>
          <w:lang w:val="en-GB"/>
        </w:rPr>
        <w:t xml:space="preserve">would </w:t>
      </w:r>
      <w:r w:rsidR="0060459C">
        <w:rPr>
          <w:lang w:val="en-GB"/>
        </w:rPr>
        <w:t>allow</w:t>
      </w:r>
      <w:r w:rsidR="007901F0">
        <w:rPr>
          <w:lang w:val="en-GB"/>
        </w:rPr>
        <w:t xml:space="preserve"> us to track contamination introduced by the different sample processing steps. This </w:t>
      </w:r>
      <w:r w:rsidR="0047173E">
        <w:rPr>
          <w:lang w:val="en-GB"/>
        </w:rPr>
        <w:t>then permits</w:t>
      </w:r>
      <w:r w:rsidR="007901F0">
        <w:rPr>
          <w:lang w:val="en-GB"/>
        </w:rPr>
        <w:t xml:space="preserve"> </w:t>
      </w:r>
      <w:r w:rsidR="0060459C">
        <w:rPr>
          <w:lang w:val="en-GB"/>
        </w:rPr>
        <w:t>more stringent filtering of contaminant taxa from</w:t>
      </w:r>
      <w:r w:rsidR="00BE55F0">
        <w:rPr>
          <w:lang w:val="en-GB"/>
        </w:rPr>
        <w:t xml:space="preserve"> </w:t>
      </w:r>
      <w:r w:rsidR="008D55C0">
        <w:rPr>
          <w:lang w:val="en-GB"/>
        </w:rPr>
        <w:t xml:space="preserve">the </w:t>
      </w:r>
      <w:r w:rsidR="00BE55F0">
        <w:rPr>
          <w:lang w:val="en-GB"/>
        </w:rPr>
        <w:t xml:space="preserve">observed </w:t>
      </w:r>
      <w:r w:rsidR="00AE0849">
        <w:rPr>
          <w:lang w:val="en-GB"/>
        </w:rPr>
        <w:t xml:space="preserve">taxonomic </w:t>
      </w:r>
      <w:r w:rsidR="0060459C">
        <w:rPr>
          <w:lang w:val="en-GB"/>
        </w:rPr>
        <w:t>profiles</w:t>
      </w:r>
      <w:r w:rsidR="00BE55F0">
        <w:rPr>
          <w:lang w:val="en-GB"/>
        </w:rPr>
        <w:t xml:space="preserve"> </w:t>
      </w:r>
      <w:r w:rsidR="008D55C0">
        <w:rPr>
          <w:lang w:val="en-GB"/>
        </w:rPr>
        <w:t>for</w:t>
      </w:r>
      <w:r w:rsidR="0060459C">
        <w:rPr>
          <w:lang w:val="en-GB"/>
        </w:rPr>
        <w:t xml:space="preserve"> </w:t>
      </w:r>
      <w:r w:rsidR="009A2F9A">
        <w:rPr>
          <w:lang w:val="en-GB"/>
        </w:rPr>
        <w:t>blood</w:t>
      </w:r>
      <w:r w:rsidR="0060459C">
        <w:rPr>
          <w:lang w:val="en-GB"/>
        </w:rPr>
        <w:t xml:space="preserve">. </w:t>
      </w:r>
      <w:r w:rsidR="003F7C65">
        <w:rPr>
          <w:lang w:val="en-GB"/>
        </w:rPr>
        <w:t>Separately, other strategies to computationally reduce the effect of contamination on observed taxonomic profiles may be employed. For example, dilutions of blood samples with DNA-free water</w:t>
      </w:r>
      <w:r w:rsidR="005325DB">
        <w:rPr>
          <w:lang w:val="en-GB"/>
        </w:rPr>
        <w:t xml:space="preserve"> to yield samples with multiple DNA concentrations</w:t>
      </w:r>
      <w:r w:rsidR="00FC5DD1">
        <w:rPr>
          <w:lang w:val="en-GB"/>
        </w:rPr>
        <w:t xml:space="preserve"> post</w:t>
      </w:r>
      <w:r w:rsidR="00B62E49">
        <w:rPr>
          <w:lang w:val="en-GB"/>
        </w:rPr>
        <w:t>-extraction</w:t>
      </w:r>
      <w:r w:rsidR="003F7C65">
        <w:rPr>
          <w:lang w:val="en-GB"/>
        </w:rPr>
        <w:t xml:space="preserve"> could be performed. In such a study design, taxa whose observed relative abundance is inversely correlated to the </w:t>
      </w:r>
      <w:r w:rsidR="003F7C65">
        <w:rPr>
          <w:rFonts w:eastAsia="Times New Roman" w:cs="Times New Roman"/>
          <w:szCs w:val="24"/>
          <w:lang w:val="en-GB"/>
        </w:rPr>
        <w:t xml:space="preserve">sample DNA concentration can be considered contaminants </w:t>
      </w:r>
      <w:r w:rsidR="00D25F22">
        <w:rPr>
          <w:rFonts w:eastAsia="Times New Roman" w:cs="Times New Roman"/>
          <w:szCs w:val="24"/>
          <w:lang w:val="en-GB"/>
        </w:rPr>
        <w:fldChar w:fldCharType="begin" w:fldLock="1"/>
      </w:r>
      <w:r w:rsidR="0030454D">
        <w:rPr>
          <w:rFonts w:eastAsia="Times New Roman" w:cs="Times New Roman"/>
          <w:szCs w:val="24"/>
          <w:lang w:val="en-GB"/>
        </w:rPr>
        <w:instrText>ADDIN CSL_CITATION {"citationItems":[{"id":"ITEM-1","itemData":{"ISSN":"2049-2618","author":[{"dropping-particle":"","family":"Jervis-Bardy","given":"Jake","non-dropping-particle":"","parse-names":false,"suffix":""},{"dropping-particle":"","family":"Leong","given":"Lex E X","non-dropping-particle":"","parse-names":false,"suffix":""},{"dropping-particle":"","family":"Marri","given":"Shashikanth","non-dropping-particle":"","parse-names":false,"suffix":""},{"dropping-particle":"","family":"Smith","given":"Renee J","non-dropping-particle":"","parse-names":false,"suffix":""},{"dropping-particle":"","family":"Choo","given":"Jocelyn M","non-dropping-particle":"","parse-names":false,"suffix":""},{"dropping-particle":"","family":"Smith-Vaughan","given":"Heidi C","non-dropping-particle":"","parse-names":false,"suffix":""},{"dropping-particle":"","family":"Nosworthy","given":"Elizabeth","non-dropping-particle":"","parse-names":false,"suffix":""},{"dropping-particle":"","family":"Morris","given":"Peter S","non-dropping-particle":"","parse-names":false,"suffix":""},{"dropping-particle":"","family":"O’Leary","given":"Stephen","non-dropping-particle":"","parse-names":false,"suffix":""},{"dropping-particle":"","family":"Rogers","given":"Geraint B","non-dropping-particle":"","parse-names":false,"suffix":""}],"container-title":"Microbiome","id":"ITEM-1","issue":"1","issued":{"date-parts":[["2015"]]},"page":"19","publisher":"Springer","title":"Deriving accurate microbiota profiles from human samples with low bacterial content through post-sequencing processing of Illumina MiSeq data","type":"article-journal","volume":"3"},"uris":["http://www.mendeley.com/documents/?uuid=e4a08777-e8dd-444f-a0c3-80ca49e31bec"]}],"mendeley":{"formattedCitation":"(Jervis-Bardy &lt;i&gt;et al.&lt;/i&gt;, 2015)","plainTextFormattedCitation":"(Jervis-Bardy et al., 2015)","previouslyFormattedCitation":"(Jervis-Bardy &lt;i&gt;et al.&lt;/i&gt;, 2015)"},"properties":{"noteIndex":0},"schema":"https://github.com/citation-style-language/schema/raw/master/csl-citation.json"}</w:instrText>
      </w:r>
      <w:r w:rsidR="00D25F22">
        <w:rPr>
          <w:rFonts w:eastAsia="Times New Roman" w:cs="Times New Roman"/>
          <w:szCs w:val="24"/>
          <w:lang w:val="en-GB"/>
        </w:rPr>
        <w:fldChar w:fldCharType="separate"/>
      </w:r>
      <w:r w:rsidR="00D25F22" w:rsidRPr="00D25F22">
        <w:rPr>
          <w:rFonts w:eastAsia="Times New Roman" w:cs="Times New Roman"/>
          <w:noProof/>
          <w:szCs w:val="24"/>
          <w:lang w:val="en-GB"/>
        </w:rPr>
        <w:t xml:space="preserve">(Jervis-Bardy </w:t>
      </w:r>
      <w:r w:rsidR="00D25F22" w:rsidRPr="00D25F22">
        <w:rPr>
          <w:rFonts w:eastAsia="Times New Roman" w:cs="Times New Roman"/>
          <w:i/>
          <w:noProof/>
          <w:szCs w:val="24"/>
          <w:lang w:val="en-GB"/>
        </w:rPr>
        <w:t>et al.</w:t>
      </w:r>
      <w:r w:rsidR="00D25F22" w:rsidRPr="00D25F22">
        <w:rPr>
          <w:rFonts w:eastAsia="Times New Roman" w:cs="Times New Roman"/>
          <w:noProof/>
          <w:szCs w:val="24"/>
          <w:lang w:val="en-GB"/>
        </w:rPr>
        <w:t>, 2015)</w:t>
      </w:r>
      <w:r w:rsidR="00D25F22">
        <w:rPr>
          <w:rFonts w:eastAsia="Times New Roman" w:cs="Times New Roman"/>
          <w:szCs w:val="24"/>
          <w:lang w:val="en-GB"/>
        </w:rPr>
        <w:fldChar w:fldCharType="end"/>
      </w:r>
      <w:r w:rsidR="00D25F22">
        <w:rPr>
          <w:rFonts w:eastAsia="Times New Roman" w:cs="Times New Roman"/>
          <w:szCs w:val="24"/>
          <w:lang w:val="en-GB"/>
        </w:rPr>
        <w:t>.</w:t>
      </w:r>
      <w:r w:rsidR="0042552F">
        <w:rPr>
          <w:rFonts w:eastAsia="Times New Roman" w:cs="Times New Roman"/>
          <w:szCs w:val="24"/>
          <w:lang w:val="en-GB"/>
        </w:rPr>
        <w:t xml:space="preserve"> Such alternative strategies can be used in tandem with the </w:t>
      </w:r>
      <w:r w:rsidR="004926C5">
        <w:rPr>
          <w:rFonts w:eastAsia="Times New Roman" w:cs="Times New Roman"/>
          <w:szCs w:val="24"/>
          <w:lang w:val="en-GB"/>
        </w:rPr>
        <w:t xml:space="preserve">contamination </w:t>
      </w:r>
      <w:r w:rsidR="0042552F">
        <w:rPr>
          <w:rFonts w:eastAsia="Times New Roman" w:cs="Times New Roman"/>
          <w:szCs w:val="24"/>
          <w:lang w:val="en-GB"/>
        </w:rPr>
        <w:t xml:space="preserve">analysis presented in this study for more stringent contaminant removal. </w:t>
      </w:r>
    </w:p>
    <w:p w14:paraId="3C732092" w14:textId="246C47F8" w:rsidR="00D04D60" w:rsidRPr="00221699" w:rsidRDefault="00D04D60" w:rsidP="006C7246">
      <w:pPr>
        <w:rPr>
          <w:lang w:val="en-GB"/>
        </w:rPr>
      </w:pPr>
      <w:r>
        <w:rPr>
          <w:lang w:val="en-GB"/>
        </w:rPr>
        <w:t>Another limitation of this study is the small sample size. The number of controls (</w:t>
      </w:r>
      <w:r w:rsidRPr="0033166C">
        <w:rPr>
          <w:i/>
          <w:iCs/>
          <w:lang w:val="en-GB"/>
        </w:rPr>
        <w:t>n</w:t>
      </w:r>
      <w:r>
        <w:rPr>
          <w:lang w:val="en-GB"/>
        </w:rPr>
        <w:t xml:space="preserve"> = 3) was much lower relative to blood samples (</w:t>
      </w:r>
      <w:r w:rsidRPr="0033166C">
        <w:rPr>
          <w:i/>
          <w:iCs/>
          <w:lang w:val="en-GB"/>
        </w:rPr>
        <w:t>n</w:t>
      </w:r>
      <w:r>
        <w:rPr>
          <w:lang w:val="en-GB"/>
        </w:rPr>
        <w:t xml:space="preserve"> = 23), resulting in highly unequal group sizes. Statistical tests are not meaningful in this context and were therefore avoided to prevent over-interpreting the data. While the addition of more negative controls would have permitted formal statistical testing, this was arguably unnecessary. Indeed, all analyses presented in this study, except that for rarefied genus richness, concordantly suggest an obvious difference between the microbial taxonomic profiles of the blood and control groups (</w:t>
      </w:r>
      <w:r w:rsidRPr="00C84B4C">
        <w:rPr>
          <w:b/>
          <w:bCs/>
          <w:lang w:val="en-GB"/>
        </w:rPr>
        <w:t>Figure 2</w:t>
      </w:r>
      <w:r>
        <w:rPr>
          <w:lang w:val="en-GB"/>
        </w:rPr>
        <w:t xml:space="preserve">). </w:t>
      </w:r>
    </w:p>
    <w:p w14:paraId="183D96BF" w14:textId="3293B3B0" w:rsidR="00A81C02" w:rsidRDefault="00A81C02" w:rsidP="006C7246">
      <w:r>
        <w:rPr>
          <w:lang w:val="en-GB"/>
        </w:rPr>
        <w:t xml:space="preserve">Separately, metagenomic sequencing measures the DNA molecules present and not live microbial cells. </w:t>
      </w:r>
      <w:r w:rsidR="005678E0">
        <w:rPr>
          <w:lang w:val="en-GB"/>
        </w:rPr>
        <w:t xml:space="preserve">Cell-free </w:t>
      </w:r>
      <w:r w:rsidR="007D0F76">
        <w:rPr>
          <w:lang w:val="en-GB"/>
        </w:rPr>
        <w:t>DNA molecules enter</w:t>
      </w:r>
      <w:r w:rsidR="00BA43C2">
        <w:rPr>
          <w:lang w:val="en-GB"/>
        </w:rPr>
        <w:t>ing</w:t>
      </w:r>
      <w:r w:rsidR="007D0F76">
        <w:rPr>
          <w:lang w:val="en-GB"/>
        </w:rPr>
        <w:t xml:space="preserve"> the bloodstream from other bodily sites such as the mouth or gut may therefore be an alternative explanation for the taxonomic profiles observed in the blood samples. </w:t>
      </w:r>
      <w:r w:rsidR="005678E0">
        <w:t>Additionally, even if the</w:t>
      </w:r>
      <w:r w:rsidR="00A215F9">
        <w:t xml:space="preserve"> detected DNA sequences reflect the presence of live cells in blood, </w:t>
      </w:r>
      <w:r w:rsidR="005678E0">
        <w:t xml:space="preserve">it remains unclear whether these </w:t>
      </w:r>
      <w:r w:rsidR="00A215F9">
        <w:t>microbial cells</w:t>
      </w:r>
      <w:r w:rsidR="005678E0">
        <w:t xml:space="preserve"> are transient or persistent</w:t>
      </w:r>
      <w:r w:rsidR="00A215F9">
        <w:t>. This is</w:t>
      </w:r>
      <w:r w:rsidR="005678E0">
        <w:t xml:space="preserve"> because </w:t>
      </w:r>
      <w:r w:rsidR="005678E0">
        <w:lastRenderedPageBreak/>
        <w:t>the current study design offers only a snapshot of the microbial sequences present.</w:t>
      </w:r>
      <w:r w:rsidR="00A215F9">
        <w:rPr>
          <w:lang w:val="en-GB"/>
        </w:rPr>
        <w:t xml:space="preserve"> Given these limitations, i</w:t>
      </w:r>
      <w:r w:rsidR="0018748E">
        <w:rPr>
          <w:lang w:val="en-GB"/>
        </w:rPr>
        <w:t xml:space="preserve">t must </w:t>
      </w:r>
      <w:r w:rsidR="00A215F9">
        <w:rPr>
          <w:lang w:val="en-GB"/>
        </w:rPr>
        <w:t>be</w:t>
      </w:r>
      <w:r w:rsidR="0018748E">
        <w:rPr>
          <w:lang w:val="en-GB"/>
        </w:rPr>
        <w:t xml:space="preserve"> stressed that further experimental validation is necessary to prove the existence of </w:t>
      </w:r>
      <w:r w:rsidR="00A215F9">
        <w:rPr>
          <w:lang w:val="en-GB"/>
        </w:rPr>
        <w:t>a</w:t>
      </w:r>
      <w:r w:rsidR="0018748E">
        <w:rPr>
          <w:lang w:val="en-GB"/>
        </w:rPr>
        <w:t xml:space="preserve"> hypothetical blood microbiome. One possible strategy is to probe the microbial mRNA</w:t>
      </w:r>
      <w:r w:rsidR="009C1E47">
        <w:rPr>
          <w:lang w:val="en-GB"/>
        </w:rPr>
        <w:t xml:space="preserve"> profile in blood. For example, if metagenomic DNA sequencing identified </w:t>
      </w:r>
      <w:r w:rsidR="009C1E47" w:rsidRPr="009C1E47">
        <w:rPr>
          <w:i/>
          <w:iCs/>
          <w:lang w:val="en-GB"/>
        </w:rPr>
        <w:t>Escherica coli</w:t>
      </w:r>
      <w:r w:rsidR="0018748E">
        <w:rPr>
          <w:lang w:val="en-GB"/>
        </w:rPr>
        <w:t xml:space="preserve"> </w:t>
      </w:r>
      <w:r w:rsidR="009C1E47">
        <w:rPr>
          <w:lang w:val="en-GB"/>
        </w:rPr>
        <w:t xml:space="preserve">in blood, we expect to also </w:t>
      </w:r>
      <w:r w:rsidR="00651B31">
        <w:rPr>
          <w:lang w:val="en-GB"/>
        </w:rPr>
        <w:t>observe</w:t>
      </w:r>
      <w:r w:rsidR="009C1E47">
        <w:rPr>
          <w:lang w:val="en-GB"/>
        </w:rPr>
        <w:t xml:space="preserve"> </w:t>
      </w:r>
      <w:r w:rsidR="009C1E47" w:rsidRPr="009C1E47">
        <w:rPr>
          <w:i/>
          <w:iCs/>
          <w:lang w:val="en-GB"/>
        </w:rPr>
        <w:t>E. coli</w:t>
      </w:r>
      <w:r w:rsidR="009C1E47">
        <w:rPr>
          <w:lang w:val="en-GB"/>
        </w:rPr>
        <w:t xml:space="preserve">-specific mRNA species. </w:t>
      </w:r>
      <w:r w:rsidR="0018748E">
        <w:rPr>
          <w:lang w:val="en-GB"/>
        </w:rPr>
        <w:t xml:space="preserve">Concordance between </w:t>
      </w:r>
      <w:r w:rsidR="00651B31">
        <w:rPr>
          <w:lang w:val="en-GB"/>
        </w:rPr>
        <w:t>DNA and RNA sequencing</w:t>
      </w:r>
      <w:r w:rsidR="00213773">
        <w:rPr>
          <w:lang w:val="en-GB"/>
        </w:rPr>
        <w:t xml:space="preserve"> </w:t>
      </w:r>
      <w:r w:rsidR="00551668">
        <w:rPr>
          <w:lang w:val="en-GB"/>
        </w:rPr>
        <w:t>results</w:t>
      </w:r>
      <w:r w:rsidR="00651B31">
        <w:rPr>
          <w:lang w:val="en-GB"/>
        </w:rPr>
        <w:t xml:space="preserve"> therefore provides stronger evidence for </w:t>
      </w:r>
      <w:r w:rsidR="0018748E">
        <w:rPr>
          <w:lang w:val="en-GB"/>
        </w:rPr>
        <w:t>an active microbial community</w:t>
      </w:r>
      <w:r w:rsidR="00213773">
        <w:rPr>
          <w:lang w:val="en-GB"/>
        </w:rPr>
        <w:t xml:space="preserve"> in blood.</w:t>
      </w:r>
      <w:r w:rsidR="005678E0">
        <w:t xml:space="preserve"> </w:t>
      </w:r>
      <w:r w:rsidR="00EC6D90">
        <w:t>Additionally, sequencing of</w:t>
      </w:r>
      <w:r w:rsidR="005678E0">
        <w:t xml:space="preserve"> blood</w:t>
      </w:r>
      <w:r w:rsidR="00EC6D90">
        <w:t xml:space="preserve"> samples</w:t>
      </w:r>
      <w:r w:rsidR="005678E0">
        <w:t xml:space="preserve"> </w:t>
      </w:r>
      <w:r w:rsidR="00EC6D90">
        <w:t>from the same individuals across different time points (</w:t>
      </w:r>
      <w:r w:rsidR="00EC6D90" w:rsidRPr="009F30CA">
        <w:rPr>
          <w:i/>
          <w:iCs/>
        </w:rPr>
        <w:t>i.e.</w:t>
      </w:r>
      <w:r w:rsidR="00EC6D90">
        <w:t xml:space="preserve"> a longitudinal study) </w:t>
      </w:r>
      <w:r w:rsidR="005678E0">
        <w:t xml:space="preserve">may shed light on </w:t>
      </w:r>
      <w:r w:rsidR="00EC6D90">
        <w:t>the persistence of detected microorganisms. Suc</w:t>
      </w:r>
      <w:r w:rsidR="009F30CA">
        <w:t xml:space="preserve">h a study design also permits modelling </w:t>
      </w:r>
      <w:r w:rsidR="00640F86">
        <w:t>of how</w:t>
      </w:r>
      <w:r w:rsidR="009255B5">
        <w:t xml:space="preserve"> the population numbers of microbial taxa changes with time</w:t>
      </w:r>
      <w:r w:rsidR="00640F86">
        <w:t xml:space="preserve">, offering insight into </w:t>
      </w:r>
      <w:r w:rsidR="009255B5">
        <w:t xml:space="preserve">their underlying ecological relationships </w:t>
      </w:r>
      <w:r w:rsidR="00A42BF8">
        <w:t xml:space="preserve">and interactions </w:t>
      </w:r>
      <w:r w:rsidR="009255B5">
        <w:fldChar w:fldCharType="begin" w:fldLock="1"/>
      </w:r>
      <w:r w:rsidR="00CC5658">
        <w:instrText>ADDIN CSL_CITATION {"citationItems":[{"id":"ITEM-1","itemData":{"ISSN":"1740-1534","author":[{"dropping-particle":"","family":"Faust","given":"Karoline","non-dropping-particle":"","parse-names":false,"suffix":""},{"dropping-particle":"","family":"Raes","given":"Jeroen","non-dropping-particle":"","parse-names":false,"suffix":""}],"container-title":"Nature Reviews Microbiology","id":"ITEM-1","issue":"8","issued":{"date-parts":[["2012"]]},"page":"538-550","publisher":"Nature Publishing Group","title":"Microbial interactions: from networks to models","type":"article-journal","volume":"10"},"uris":["http://www.mendeley.com/documents/?uuid=e941c0e2-9458-41d5-99bb-53580af5d51e"]}],"mendeley":{"formattedCitation":"(Faust and Raes, 2012)","plainTextFormattedCitation":"(Faust and Raes, 2012)","previouslyFormattedCitation":"(Faust and Raes, 2012)"},"properties":{"noteIndex":0},"schema":"https://github.com/citation-style-language/schema/raw/master/csl-citation.json"}</w:instrText>
      </w:r>
      <w:r w:rsidR="009255B5">
        <w:fldChar w:fldCharType="separate"/>
      </w:r>
      <w:r w:rsidR="009255B5" w:rsidRPr="009255B5">
        <w:rPr>
          <w:noProof/>
        </w:rPr>
        <w:t>(Faust and Raes, 2012)</w:t>
      </w:r>
      <w:r w:rsidR="009255B5">
        <w:fldChar w:fldCharType="end"/>
      </w:r>
      <w:r w:rsidR="00640F86">
        <w:t>.</w:t>
      </w:r>
      <w:r w:rsidR="00A42BF8">
        <w:t xml:space="preserve"> Agreement of these findings with known microbial interactions would provide additional evidence</w:t>
      </w:r>
      <w:r w:rsidR="00F5754D">
        <w:t xml:space="preserve"> </w:t>
      </w:r>
      <w:r w:rsidR="00A42BF8">
        <w:t>for an active community.</w:t>
      </w:r>
    </w:p>
    <w:p w14:paraId="67613B61" w14:textId="185EE50C" w:rsidR="00D04D60" w:rsidRPr="005678E0" w:rsidRDefault="00221699" w:rsidP="006C7246">
      <w:pPr>
        <w:rPr>
          <w:lang w:val="en-GB"/>
        </w:rPr>
      </w:pPr>
      <w:r>
        <w:rPr>
          <w:lang w:val="en-GB"/>
        </w:rPr>
        <w:t xml:space="preserve">Finally, because </w:t>
      </w:r>
      <w:r w:rsidR="00AC4D31">
        <w:rPr>
          <w:lang w:val="en-GB"/>
        </w:rPr>
        <w:t xml:space="preserve">the sequencing strategy used targets the 16S rRNA gene of bacteria, other infectious agents were not considered in the analysis. However, </w:t>
      </w:r>
      <w:r w:rsidR="00272FA9">
        <w:rPr>
          <w:lang w:val="en-GB"/>
        </w:rPr>
        <w:t xml:space="preserve">some of these infectious agents are likely to be important components of the blood microbiome. </w:t>
      </w:r>
      <w:r w:rsidR="00AC4D31">
        <w:rPr>
          <w:lang w:val="en-GB"/>
        </w:rPr>
        <w:t>For example,</w:t>
      </w:r>
      <w:r w:rsidR="00272FA9">
        <w:rPr>
          <w:lang w:val="en-GB"/>
        </w:rPr>
        <w:t xml:space="preserve"> </w:t>
      </w:r>
      <w:r w:rsidR="00CC4E38">
        <w:rPr>
          <w:lang w:val="en-GB"/>
        </w:rPr>
        <w:t xml:space="preserve">at least 19 different viruses could be identified from the blood of 8,240 individuals </w:t>
      </w:r>
      <w:r w:rsidR="00CC4E38">
        <w:rPr>
          <w:lang w:val="en-GB"/>
        </w:rPr>
        <w:fldChar w:fldCharType="begin" w:fldLock="1"/>
      </w:r>
      <w:r w:rsidR="00CC4E38">
        <w:rPr>
          <w:lang w:val="en-GB"/>
        </w:rPr>
        <w:instrText>ADDIN CSL_CITATION {"citationItems":[{"id":"ITEM-1","itemData":{"ISSN":"1553-7374","author":[{"dropping-particle":"","family":"Moustafa","given":"Ahmed","non-dropping-particle":"","parse-names":false,"suffix":""},{"dropping-particle":"","family":"Xie","given":"Chao","non-dropping-particle":"","parse-names":false,"suffix":""},{"dropping-particle":"","family":"Kirkness","given":"Ewen","non-dropping-particle":"","parse-names":false,"suffix":""},{"dropping-particle":"","family":"Biggs","given":"William","non-dropping-particle":"","parse-names":false,"suffix":""},{"dropping-particle":"","family":"Wong","given":"Emily","non-dropping-particle":"","parse-names":false,"suffix":""},{"dropping-particle":"","family":"Turpaz","given":"Yaron","non-dropping-particle":"","parse-names":false,"suffix":""},{"dropping-particle":"","family":"Bloom","given":"Kenneth","non-dropping-particle":"","parse-names":false,"suffix":""},{"dropping-particle":"","family":"Delwart","given":"Eric","non-dropping-particle":"","parse-names":false,"suffix":""},{"dropping-particle":"","family":"Nelson","given":"Karen E","non-dropping-particle":"","parse-names":false,"suffix":""},{"dropping-particle":"","family":"Venter","given":"J Craig","non-dropping-particle":"","parse-names":false,"suffix":""}],"container-title":"PLoS pathogens","id":"ITEM-1","issue":"3","issued":{"date-parts":[["2017"]]},"page":"e1006292","publisher":"Public Library of Science","title":"The blood DNA virome in 8,000 humans","type":"article-journal","volume":"13"},"uris":["http://www.mendeley.com/documents/?uuid=7c9657ec-9bc8-47f9-b123-a982dfca0cae"]}],"mendeley":{"formattedCitation":"(Moustafa &lt;i&gt;et al.&lt;/i&gt;, 2017)","plainTextFormattedCitation":"(Moustafa et al., 2017)","previouslyFormattedCitation":"(Moustafa &lt;i&gt;et al.&lt;/i&gt;, 2017)"},"properties":{"noteIndex":0},"schema":"https://github.com/citation-style-language/schema/raw/master/csl-citation.json"}</w:instrText>
      </w:r>
      <w:r w:rsidR="00CC4E38">
        <w:rPr>
          <w:lang w:val="en-GB"/>
        </w:rPr>
        <w:fldChar w:fldCharType="separate"/>
      </w:r>
      <w:r w:rsidR="00CC4E38" w:rsidRPr="00CC4E38">
        <w:rPr>
          <w:noProof/>
          <w:lang w:val="en-GB"/>
        </w:rPr>
        <w:t xml:space="preserve">(Moustafa </w:t>
      </w:r>
      <w:r w:rsidR="00CC4E38" w:rsidRPr="00CC4E38">
        <w:rPr>
          <w:i/>
          <w:noProof/>
          <w:lang w:val="en-GB"/>
        </w:rPr>
        <w:t>et al.</w:t>
      </w:r>
      <w:r w:rsidR="00CC4E38" w:rsidRPr="00CC4E38">
        <w:rPr>
          <w:noProof/>
          <w:lang w:val="en-GB"/>
        </w:rPr>
        <w:t>, 2017)</w:t>
      </w:r>
      <w:r w:rsidR="00CC4E38">
        <w:rPr>
          <w:lang w:val="en-GB"/>
        </w:rPr>
        <w:fldChar w:fldCharType="end"/>
      </w:r>
      <w:r w:rsidR="00272FA9">
        <w:rPr>
          <w:lang w:val="en-GB"/>
        </w:rPr>
        <w:t>.</w:t>
      </w:r>
      <w:r w:rsidR="00CC4E38">
        <w:rPr>
          <w:lang w:val="en-GB"/>
        </w:rPr>
        <w:t xml:space="preserve"> Additionally, the torque teno virus was found in 70-100% of individuals sampled from ten regions across the world </w:t>
      </w:r>
      <w:r w:rsidR="00CC4E38">
        <w:rPr>
          <w:lang w:val="en-GB"/>
        </w:rPr>
        <w:fldChar w:fldCharType="begin" w:fldLock="1"/>
      </w:r>
      <w:r w:rsidR="00196E25">
        <w:rPr>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regions","type":"article-journal","volume":"37"},"uris":["http://www.mendeley.com/documents/?uuid=fec449de-0857-4d94-b526-fca02fb6bfeb"]}],"mendeley":{"formattedCitation":"(Abe &lt;i&gt;et al.&lt;/i&gt;, 1999)","plainTextFormattedCitation":"(Abe et al., 1999)","previouslyFormattedCitation":"(Abe &lt;i&gt;et al.&lt;/i&gt;, 1999)"},"properties":{"noteIndex":0},"schema":"https://github.com/citation-style-language/schema/raw/master/csl-citation.json"}</w:instrText>
      </w:r>
      <w:r w:rsidR="00CC4E38">
        <w:rPr>
          <w:lang w:val="en-GB"/>
        </w:rPr>
        <w:fldChar w:fldCharType="separate"/>
      </w:r>
      <w:r w:rsidR="00CC4E38" w:rsidRPr="00CC4E38">
        <w:rPr>
          <w:noProof/>
          <w:lang w:val="en-GB"/>
        </w:rPr>
        <w:t xml:space="preserve">(Abe </w:t>
      </w:r>
      <w:r w:rsidR="00CC4E38" w:rsidRPr="00CC4E38">
        <w:rPr>
          <w:i/>
          <w:noProof/>
          <w:lang w:val="en-GB"/>
        </w:rPr>
        <w:t>et al.</w:t>
      </w:r>
      <w:r w:rsidR="00CC4E38" w:rsidRPr="00CC4E38">
        <w:rPr>
          <w:noProof/>
          <w:lang w:val="en-GB"/>
        </w:rPr>
        <w:t>, 1999)</w:t>
      </w:r>
      <w:r w:rsidR="00CC4E38">
        <w:rPr>
          <w:lang w:val="en-GB"/>
        </w:rPr>
        <w:fldChar w:fldCharType="end"/>
      </w:r>
      <w:r w:rsidR="00CC4E38">
        <w:rPr>
          <w:lang w:val="en-GB"/>
        </w:rPr>
        <w:t xml:space="preserve">. </w:t>
      </w:r>
      <w:r w:rsidR="00CC4E38">
        <w:rPr>
          <w:rFonts w:cs="Arial"/>
          <w:szCs w:val="24"/>
          <w:lang w:val="en-GB"/>
        </w:rPr>
        <w:t>These findings suggest a remarkably high prevalence of viruses in human</w:t>
      </w:r>
      <w:r w:rsidR="004136A7">
        <w:rPr>
          <w:rFonts w:cs="Arial"/>
          <w:szCs w:val="24"/>
          <w:lang w:val="en-GB"/>
        </w:rPr>
        <w:t xml:space="preserve"> blood. </w:t>
      </w:r>
      <w:r w:rsidR="000E0C0E">
        <w:rPr>
          <w:rFonts w:cs="Arial"/>
          <w:szCs w:val="24"/>
          <w:lang w:val="en-GB"/>
        </w:rPr>
        <w:t xml:space="preserve">Inclusion of viruses and other infectious agents in future studies will provide a more comprehensive view of the microorganisms present in the bloodstream. </w:t>
      </w:r>
    </w:p>
    <w:p w14:paraId="615A8019" w14:textId="7842B698" w:rsidR="001932A1" w:rsidRDefault="00275250" w:rsidP="001932A1">
      <w:pPr>
        <w:rPr>
          <w:rFonts w:eastAsia="Times New Roman" w:cs="Times New Roman"/>
          <w:szCs w:val="24"/>
          <w:lang w:val="en-GB"/>
        </w:rPr>
      </w:pPr>
      <w:r>
        <w:rPr>
          <w:rFonts w:eastAsia="Times New Roman" w:cs="Times New Roman"/>
          <w:szCs w:val="24"/>
          <w:lang w:val="en-GB"/>
        </w:rPr>
        <w:t>In summary</w:t>
      </w:r>
      <w:r w:rsidR="001932A1">
        <w:rPr>
          <w:rFonts w:eastAsia="Times New Roman" w:cs="Times New Roman"/>
          <w:szCs w:val="24"/>
          <w:lang w:val="en-GB"/>
        </w:rPr>
        <w:t>,</w:t>
      </w:r>
      <w:r w:rsidR="00AC512B">
        <w:rPr>
          <w:rFonts w:eastAsia="Times New Roman" w:cs="Times New Roman"/>
          <w:szCs w:val="24"/>
          <w:lang w:val="en-GB"/>
        </w:rPr>
        <w:t xml:space="preserve"> the results</w:t>
      </w:r>
      <w:r w:rsidR="000D41B4">
        <w:rPr>
          <w:rFonts w:eastAsia="Times New Roman" w:cs="Times New Roman"/>
          <w:szCs w:val="24"/>
          <w:lang w:val="en-GB"/>
        </w:rPr>
        <w:t xml:space="preserve"> suggest that </w:t>
      </w:r>
      <w:r w:rsidR="009E0AC7">
        <w:rPr>
          <w:rFonts w:eastAsia="Times New Roman" w:cs="Times New Roman"/>
          <w:szCs w:val="24"/>
          <w:lang w:val="en-GB"/>
        </w:rPr>
        <w:t>the human bloodstream may harbour</w:t>
      </w:r>
      <w:r w:rsidR="0099093D">
        <w:rPr>
          <w:rFonts w:eastAsia="Times New Roman" w:cs="Times New Roman"/>
          <w:szCs w:val="24"/>
          <w:lang w:val="en-GB"/>
        </w:rPr>
        <w:t xml:space="preserve"> </w:t>
      </w:r>
      <w:r w:rsidR="009E0AC7">
        <w:rPr>
          <w:rFonts w:eastAsia="Times New Roman" w:cs="Times New Roman"/>
          <w:szCs w:val="24"/>
          <w:lang w:val="en-GB"/>
        </w:rPr>
        <w:t>bacteria that do not necessarily lead to disease.</w:t>
      </w:r>
      <w:r w:rsidR="0099093D">
        <w:rPr>
          <w:rFonts w:eastAsia="Times New Roman" w:cs="Times New Roman"/>
          <w:szCs w:val="24"/>
          <w:lang w:val="en-GB"/>
        </w:rPr>
        <w:t xml:space="preserve"> </w:t>
      </w:r>
      <w:r>
        <w:rPr>
          <w:rFonts w:eastAsia="Times New Roman" w:cs="Times New Roman"/>
          <w:szCs w:val="24"/>
          <w:lang w:val="en-GB"/>
        </w:rPr>
        <w:t xml:space="preserve">Additionally, the use of </w:t>
      </w:r>
      <w:r w:rsidRPr="00275250">
        <w:rPr>
          <w:rFonts w:eastAsia="Times New Roman" w:cs="Times New Roman"/>
          <w:i/>
          <w:iCs/>
          <w:szCs w:val="24"/>
          <w:lang w:val="en-GB"/>
        </w:rPr>
        <w:t>in silico</w:t>
      </w:r>
      <w:r>
        <w:rPr>
          <w:rFonts w:eastAsia="Times New Roman" w:cs="Times New Roman"/>
          <w:szCs w:val="24"/>
          <w:lang w:val="en-GB"/>
        </w:rPr>
        <w:t xml:space="preserve"> techniques to remove contamina</w:t>
      </w:r>
      <w:r w:rsidR="005B1077">
        <w:rPr>
          <w:rFonts w:eastAsia="Times New Roman" w:cs="Times New Roman"/>
          <w:szCs w:val="24"/>
          <w:lang w:val="en-GB"/>
        </w:rPr>
        <w:t>n</w:t>
      </w:r>
      <w:r>
        <w:rPr>
          <w:rFonts w:eastAsia="Times New Roman" w:cs="Times New Roman"/>
          <w:szCs w:val="24"/>
          <w:lang w:val="en-GB"/>
        </w:rPr>
        <w:t>t</w:t>
      </w:r>
      <w:r w:rsidR="005B1077">
        <w:rPr>
          <w:rFonts w:eastAsia="Times New Roman" w:cs="Times New Roman"/>
          <w:szCs w:val="24"/>
          <w:lang w:val="en-GB"/>
        </w:rPr>
        <w:t xml:space="preserve">s </w:t>
      </w:r>
      <w:r>
        <w:rPr>
          <w:rFonts w:eastAsia="Times New Roman" w:cs="Times New Roman"/>
          <w:szCs w:val="24"/>
          <w:lang w:val="en-GB"/>
        </w:rPr>
        <w:t xml:space="preserve">while retaining </w:t>
      </w:r>
      <w:r w:rsidR="00000C8F">
        <w:rPr>
          <w:rFonts w:eastAsia="Times New Roman" w:cs="Times New Roman"/>
          <w:szCs w:val="24"/>
          <w:lang w:val="en-GB"/>
        </w:rPr>
        <w:t>biologically relevant</w:t>
      </w:r>
      <w:r>
        <w:rPr>
          <w:rFonts w:eastAsia="Times New Roman" w:cs="Times New Roman"/>
          <w:szCs w:val="24"/>
          <w:lang w:val="en-GB"/>
        </w:rPr>
        <w:t xml:space="preserve"> </w:t>
      </w:r>
      <w:r w:rsidR="005B1077">
        <w:rPr>
          <w:rFonts w:eastAsia="Times New Roman" w:cs="Times New Roman"/>
          <w:szCs w:val="24"/>
          <w:lang w:val="en-GB"/>
        </w:rPr>
        <w:t>taxa after taxonomic profiling was demonstrated</w:t>
      </w:r>
      <w:r>
        <w:rPr>
          <w:rFonts w:eastAsia="Times New Roman" w:cs="Times New Roman"/>
          <w:szCs w:val="24"/>
          <w:lang w:val="en-GB"/>
        </w:rPr>
        <w:t xml:space="preserve">. </w:t>
      </w:r>
      <w:r w:rsidR="00016ADE">
        <w:rPr>
          <w:rFonts w:eastAsia="Times New Roman" w:cs="Times New Roman"/>
          <w:szCs w:val="24"/>
          <w:lang w:val="en-GB"/>
        </w:rPr>
        <w:t>The present findings challenge the existing paradigm that blood is sterile</w:t>
      </w:r>
      <w:r w:rsidR="00D5189D">
        <w:rPr>
          <w:rFonts w:eastAsia="Times New Roman" w:cs="Times New Roman"/>
          <w:szCs w:val="24"/>
          <w:lang w:val="en-GB"/>
        </w:rPr>
        <w:t>. Additionally, they</w:t>
      </w:r>
      <w:r w:rsidR="00016ADE">
        <w:rPr>
          <w:rFonts w:eastAsia="Times New Roman" w:cs="Times New Roman"/>
          <w:szCs w:val="24"/>
          <w:lang w:val="en-GB"/>
        </w:rPr>
        <w:t xml:space="preserve"> lay the foundations for a more comprehensive understanding the full human microbiome</w:t>
      </w:r>
      <w:r w:rsidR="00D5189D">
        <w:rPr>
          <w:rFonts w:eastAsia="Times New Roman" w:cs="Times New Roman"/>
          <w:szCs w:val="24"/>
          <w:lang w:val="en-GB"/>
        </w:rPr>
        <w:t xml:space="preserve">, which may be harnessed in the long run to develop clinical prognostic tools or personalised therapeutics. </w:t>
      </w:r>
    </w:p>
    <w:p w14:paraId="2C35198A" w14:textId="77777777" w:rsidR="008B1AD9" w:rsidRDefault="008B1AD9">
      <w:pPr>
        <w:spacing w:line="259" w:lineRule="auto"/>
        <w:jc w:val="left"/>
        <w:rPr>
          <w:rFonts w:eastAsiaTheme="majorEastAsia" w:cstheme="majorBidi"/>
          <w:b/>
          <w:color w:val="0070C0"/>
          <w:sz w:val="32"/>
          <w:szCs w:val="32"/>
          <w:lang w:val="en-GB"/>
        </w:rPr>
      </w:pPr>
      <w:r>
        <w:rPr>
          <w:lang w:val="en-GB"/>
        </w:rPr>
        <w:br w:type="page"/>
      </w:r>
    </w:p>
    <w:p w14:paraId="78EF3AD5" w14:textId="36CB3175" w:rsidR="00374042" w:rsidRDefault="00374042" w:rsidP="00374042">
      <w:pPr>
        <w:pStyle w:val="Heading1"/>
        <w:rPr>
          <w:lang w:val="en-GB"/>
        </w:rPr>
      </w:pPr>
      <w:r>
        <w:rPr>
          <w:lang w:val="en-GB"/>
        </w:rPr>
        <w:lastRenderedPageBreak/>
        <w:t>Methods</w:t>
      </w:r>
    </w:p>
    <w:p w14:paraId="0D5387A7" w14:textId="528EFB77" w:rsidR="009D4340" w:rsidRDefault="009D4340" w:rsidP="009D4340">
      <w:pPr>
        <w:pStyle w:val="Heading2"/>
        <w:rPr>
          <w:lang w:val="en-GB"/>
        </w:rPr>
      </w:pPr>
      <w:r>
        <w:rPr>
          <w:lang w:val="en-GB"/>
        </w:rPr>
        <w:t>Sample</w:t>
      </w:r>
      <w:r w:rsidR="00A2315B">
        <w:rPr>
          <w:lang w:val="en-GB"/>
        </w:rPr>
        <w:t xml:space="preserve"> collection</w:t>
      </w:r>
    </w:p>
    <w:p w14:paraId="5A68A974" w14:textId="2F4DEB47" w:rsidR="00A2315B" w:rsidRPr="00A2315B" w:rsidRDefault="00A2315B" w:rsidP="00E378C0">
      <w:pPr>
        <w:rPr>
          <w:lang w:val="en-GB"/>
        </w:rPr>
      </w:pPr>
      <w:r>
        <w:rPr>
          <w:shd w:val="clear" w:color="auto" w:fill="FFFFFF"/>
        </w:rPr>
        <w:t xml:space="preserve">Phlebotomies were carried out on 13 female and 10 male </w:t>
      </w:r>
      <w:r w:rsidR="00C20869">
        <w:rPr>
          <w:shd w:val="clear" w:color="auto" w:fill="FFFFFF"/>
        </w:rPr>
        <w:t>volunteers</w:t>
      </w:r>
      <w:r>
        <w:rPr>
          <w:shd w:val="clear" w:color="auto" w:fill="FFFFFF"/>
        </w:rPr>
        <w:t xml:space="preserve"> (median age = 59). These individuals had no clinical symptoms of bloodstream infections and had normal levels of the C-reactive protein inflammatory marker. </w:t>
      </w:r>
      <w:r w:rsidR="00C20869">
        <w:rPr>
          <w:shd w:val="clear" w:color="auto" w:fill="FFFFFF"/>
        </w:rPr>
        <w:t>All volunteers were not undergoing antibiotic treatment prior to sample collection.</w:t>
      </w:r>
      <w:r w:rsidR="000757E0">
        <w:rPr>
          <w:shd w:val="clear" w:color="auto" w:fill="FFFFFF"/>
        </w:rPr>
        <w:t xml:space="preserve"> </w:t>
      </w:r>
      <w:r>
        <w:rPr>
          <w:shd w:val="clear" w:color="auto" w:fill="FFFFFF"/>
        </w:rPr>
        <w:t xml:space="preserve">Blood samples </w:t>
      </w:r>
      <w:r w:rsidR="000757E0">
        <w:rPr>
          <w:shd w:val="clear" w:color="auto" w:fill="FFFFFF"/>
        </w:rPr>
        <w:t>were collected in 4</w:t>
      </w:r>
      <w:r>
        <w:rPr>
          <w:shd w:val="clear" w:color="auto" w:fill="FFFFFF"/>
        </w:rPr>
        <w:t>ml Vacutainer K3E (Becton</w:t>
      </w:r>
      <w:r w:rsidR="008B1AD9">
        <w:rPr>
          <w:shd w:val="clear" w:color="auto" w:fill="FFFFFF"/>
        </w:rPr>
        <w:t xml:space="preserve"> </w:t>
      </w:r>
      <w:r>
        <w:rPr>
          <w:shd w:val="clear" w:color="auto" w:fill="FFFFFF"/>
        </w:rPr>
        <w:t>Dickinson) tubes.</w:t>
      </w:r>
      <w:r w:rsidR="00F00F3A">
        <w:rPr>
          <w:shd w:val="clear" w:color="auto" w:fill="FFFFFF"/>
        </w:rPr>
        <w:t xml:space="preserve"> </w:t>
      </w:r>
    </w:p>
    <w:p w14:paraId="5A044853" w14:textId="461F25AD" w:rsidR="009D4340" w:rsidRDefault="009D4340" w:rsidP="009D4340">
      <w:pPr>
        <w:pStyle w:val="Heading2"/>
        <w:rPr>
          <w:lang w:val="en-GB"/>
        </w:rPr>
      </w:pPr>
      <w:r>
        <w:rPr>
          <w:lang w:val="en-GB"/>
        </w:rPr>
        <w:t>DNA extraction</w:t>
      </w:r>
    </w:p>
    <w:p w14:paraId="143880BD" w14:textId="2F307D97" w:rsidR="00E259E3" w:rsidRPr="00E259E3" w:rsidRDefault="00E259E3" w:rsidP="00E259E3">
      <w:pPr>
        <w:rPr>
          <w:lang w:val="en-GB"/>
        </w:rPr>
      </w:pPr>
      <w:r w:rsidRPr="00E259E3">
        <w:rPr>
          <w:lang w:val="en-GB"/>
        </w:rPr>
        <w:t>Microbial DNA</w:t>
      </w:r>
      <w:r w:rsidR="009422B2">
        <w:rPr>
          <w:lang w:val="en-GB"/>
        </w:rPr>
        <w:t xml:space="preserve"> was extracted from blood using </w:t>
      </w:r>
      <w:r w:rsidR="007656A3">
        <w:rPr>
          <w:lang w:val="en-GB"/>
        </w:rPr>
        <w:t xml:space="preserve">the </w:t>
      </w:r>
      <w:r w:rsidR="007656A3">
        <w:rPr>
          <w:color w:val="000000"/>
          <w:shd w:val="clear" w:color="auto" w:fill="FFFFFF"/>
        </w:rPr>
        <w:t>Blood Mini kit (A&amp;A Biotechnology)</w:t>
      </w:r>
      <w:r w:rsidR="007656A3">
        <w:rPr>
          <w:lang w:val="en-GB"/>
        </w:rPr>
        <w:t xml:space="preserve">, as  </w:t>
      </w:r>
      <w:r w:rsidR="009422B2">
        <w:rPr>
          <w:lang w:val="en-GB"/>
        </w:rPr>
        <w:t>described previously</w:t>
      </w:r>
      <w:r>
        <w:rPr>
          <w:lang w:val="en-GB"/>
        </w:rPr>
        <w:t xml:space="preserve"> </w:t>
      </w:r>
      <w:r w:rsidR="00E378C0">
        <w:rPr>
          <w:lang w:val="en-GB"/>
        </w:rPr>
        <w:fldChar w:fldCharType="begin" w:fldLock="1"/>
      </w:r>
      <w:r w:rsidR="0026480B">
        <w:rPr>
          <w:lang w:val="en-GB"/>
        </w:rPr>
        <w:instrText>ADDIN CSL_CITATION {"citationItems":[{"id":"ITEM-1","itemData":{"ISSN":"1432-0991","author":[{"dropping-particle":"","family":"Gosiewski","given":"Tomasz","non-dropping-particle":"","parse-names":false,"suffix":""},{"dropping-particle":"","family":"Szała","given":"Leszek","non-dropping-particle":"","parse-names":false,"suffix":""},{"dropping-particle":"","family":"Pietrzyk","given":"Agata","non-dropping-particle":"","parse-names":false,"suffix":""},{"dropping-particle":"","family":"Brzychczy-Włoch","given":"Monika","non-dropping-particle":"","parse-names":false,"suffix":""},{"dropping-particle":"","family":"Heczko","given":"Piotr B","non-dropping-particle":"","parse-names":false,"suffix":""},{"dropping-particle":"","family":"Bulanda","given":"Małgorzata","non-dropping-particle":"","parse-names":false,"suffix":""}],"container-title":"Current microbiology","id":"ITEM-1","issue":"2","issued":{"date-parts":[["2014"]]},"page":"149-155","publisher":"Springer","title":"Comparison of methods for isolation of bacterial and fungal DNA from human blood","type":"article-journal","volume":"68"},"uris":["http://www.mendeley.com/documents/?uuid=6f09f78d-19a1-4a3b-b3fe-b55294b675b5"]}],"mendeley":{"formattedCitation":"(Gosiewski, Szała, &lt;i&gt;et al.&lt;/i&gt;, 2014)","plainTextFormattedCitation":"(Gosiewski, Szała, et al., 2014)","previouslyFormattedCitation":"(Gosiewski, Szała, &lt;i&gt;et al.&lt;/i&gt;, 2014)"},"properties":{"noteIndex":0},"schema":"https://github.com/citation-style-language/schema/raw/master/csl-citation.json"}</w:instrText>
      </w:r>
      <w:r w:rsidR="00E378C0">
        <w:rPr>
          <w:lang w:val="en-GB"/>
        </w:rPr>
        <w:fldChar w:fldCharType="separate"/>
      </w:r>
      <w:r w:rsidR="003672EB" w:rsidRPr="003672EB">
        <w:rPr>
          <w:noProof/>
          <w:lang w:val="en-GB"/>
        </w:rPr>
        <w:t xml:space="preserve">(Gosiewski, Szała, </w:t>
      </w:r>
      <w:r w:rsidR="003672EB" w:rsidRPr="003672EB">
        <w:rPr>
          <w:i/>
          <w:noProof/>
          <w:lang w:val="en-GB"/>
        </w:rPr>
        <w:t>et al.</w:t>
      </w:r>
      <w:r w:rsidR="003672EB" w:rsidRPr="003672EB">
        <w:rPr>
          <w:noProof/>
          <w:lang w:val="en-GB"/>
        </w:rPr>
        <w:t>, 2014)</w:t>
      </w:r>
      <w:r w:rsidR="00E378C0">
        <w:rPr>
          <w:lang w:val="en-GB"/>
        </w:rPr>
        <w:fldChar w:fldCharType="end"/>
      </w:r>
      <w:r w:rsidR="00E378C0">
        <w:rPr>
          <w:lang w:val="en-GB"/>
        </w:rPr>
        <w:t xml:space="preserve">. </w:t>
      </w:r>
      <w:r w:rsidR="00E378C0" w:rsidRPr="00E259E3">
        <w:rPr>
          <w:lang w:val="en-GB"/>
        </w:rPr>
        <w:t xml:space="preserve">The concentration and purity of </w:t>
      </w:r>
      <w:r w:rsidR="007656A3">
        <w:rPr>
          <w:lang w:val="en-GB"/>
        </w:rPr>
        <w:t xml:space="preserve">extracted DNA was determined using </w:t>
      </w:r>
      <w:r w:rsidR="00E378C0" w:rsidRPr="00E259E3">
        <w:rPr>
          <w:lang w:val="en-GB"/>
        </w:rPr>
        <w:t>NanoDrop</w:t>
      </w:r>
      <w:r w:rsidR="007656A3">
        <w:rPr>
          <w:lang w:val="en-GB"/>
        </w:rPr>
        <w:t xml:space="preserve"> (</w:t>
      </w:r>
      <w:r w:rsidR="00E378C0" w:rsidRPr="00E259E3">
        <w:rPr>
          <w:lang w:val="en-GB"/>
        </w:rPr>
        <w:t>Thermo Scientific)</w:t>
      </w:r>
      <w:r w:rsidR="007656A3">
        <w:rPr>
          <w:lang w:val="en-GB"/>
        </w:rPr>
        <w:t>.</w:t>
      </w:r>
      <w:r w:rsidR="00F00F3A" w:rsidRPr="00F00F3A">
        <w:rPr>
          <w:shd w:val="clear" w:color="auto" w:fill="FFFFFF"/>
        </w:rPr>
        <w:t xml:space="preserve"> </w:t>
      </w:r>
      <w:r w:rsidR="00F00F3A">
        <w:rPr>
          <w:shd w:val="clear" w:color="auto" w:fill="FFFFFF"/>
        </w:rPr>
        <w:t>Sterile water was used as a substitute for the extracted DNA in the negative water controls.</w:t>
      </w:r>
    </w:p>
    <w:p w14:paraId="5FD963D4" w14:textId="3862C8DA" w:rsidR="009D4340" w:rsidRDefault="00E378C0" w:rsidP="009D4340">
      <w:pPr>
        <w:pStyle w:val="Heading2"/>
        <w:rPr>
          <w:lang w:val="en-GB"/>
        </w:rPr>
      </w:pPr>
      <w:r>
        <w:rPr>
          <w:lang w:val="en-GB"/>
        </w:rPr>
        <w:t>16S rRNA library preparation</w:t>
      </w:r>
      <w:r w:rsidR="00B44C4F">
        <w:rPr>
          <w:lang w:val="en-GB"/>
        </w:rPr>
        <w:t xml:space="preserve"> and sequencing</w:t>
      </w:r>
    </w:p>
    <w:p w14:paraId="08CC3E6C" w14:textId="1BF23377" w:rsidR="00E378C0" w:rsidRPr="00E378C0" w:rsidRDefault="00371D2A" w:rsidP="00E378C0">
      <w:pPr>
        <w:rPr>
          <w:lang w:val="en-GB"/>
        </w:rPr>
      </w:pPr>
      <w:r>
        <w:rPr>
          <w:rFonts w:cs="Times New Roman"/>
          <w:szCs w:val="24"/>
        </w:rPr>
        <w:t xml:space="preserve">Paired-end </w:t>
      </w:r>
      <w:r w:rsidR="007710CA">
        <w:rPr>
          <w:rFonts w:cs="Times New Roman"/>
          <w:szCs w:val="24"/>
        </w:rPr>
        <w:t>s</w:t>
      </w:r>
      <w:r w:rsidR="00C9620F" w:rsidRPr="000F2787">
        <w:rPr>
          <w:rFonts w:cs="Times New Roman"/>
          <w:szCs w:val="24"/>
        </w:rPr>
        <w:t xml:space="preserve">equencing of </w:t>
      </w:r>
      <w:r w:rsidR="00C9620F">
        <w:rPr>
          <w:rFonts w:cs="Times New Roman"/>
          <w:szCs w:val="24"/>
        </w:rPr>
        <w:t xml:space="preserve">the hypervariable </w:t>
      </w:r>
      <w:r w:rsidR="00C9620F" w:rsidRPr="000F2787">
        <w:rPr>
          <w:rFonts w:cs="Times New Roman"/>
          <w:szCs w:val="24"/>
        </w:rPr>
        <w:t xml:space="preserve">V3-V4 </w:t>
      </w:r>
      <w:r w:rsidR="00C9620F">
        <w:rPr>
          <w:rFonts w:cs="Times New Roman"/>
          <w:szCs w:val="24"/>
        </w:rPr>
        <w:t xml:space="preserve">regions of 16S </w:t>
      </w:r>
      <w:r w:rsidR="00764B5A">
        <w:rPr>
          <w:rFonts w:cs="Times New Roman"/>
          <w:szCs w:val="24"/>
        </w:rPr>
        <w:t>r</w:t>
      </w:r>
      <w:r w:rsidR="00941E2C">
        <w:rPr>
          <w:rFonts w:cs="Times New Roman"/>
          <w:szCs w:val="24"/>
        </w:rPr>
        <w:t>RNA gene from extracted DNA</w:t>
      </w:r>
      <w:r w:rsidR="00764B5A">
        <w:rPr>
          <w:rFonts w:cs="Times New Roman"/>
          <w:szCs w:val="24"/>
        </w:rPr>
        <w:t xml:space="preserve"> </w:t>
      </w:r>
      <w:r w:rsidR="00C9620F" w:rsidRPr="000F2787">
        <w:rPr>
          <w:rFonts w:cs="Times New Roman"/>
          <w:szCs w:val="24"/>
        </w:rPr>
        <w:t xml:space="preserve">was performed </w:t>
      </w:r>
      <w:r w:rsidR="00C9620F">
        <w:rPr>
          <w:rFonts w:cs="Times New Roman"/>
          <w:szCs w:val="24"/>
        </w:rPr>
        <w:t xml:space="preserve">on the </w:t>
      </w:r>
      <w:r w:rsidR="00C9620F" w:rsidRPr="00E378C0">
        <w:rPr>
          <w:lang w:val="en-GB"/>
        </w:rPr>
        <w:t>Illumina MiSeq System</w:t>
      </w:r>
      <w:r w:rsidR="00C9620F">
        <w:rPr>
          <w:rFonts w:cs="Times New Roman"/>
          <w:szCs w:val="24"/>
        </w:rPr>
        <w:t xml:space="preserve">. </w:t>
      </w:r>
      <w:r w:rsidR="00221AD1">
        <w:rPr>
          <w:lang w:val="en-GB"/>
        </w:rPr>
        <w:t xml:space="preserve">Library preparation and sequencing was carried out in accordance </w:t>
      </w:r>
      <w:r w:rsidR="00C9620F">
        <w:rPr>
          <w:lang w:val="en-GB"/>
        </w:rPr>
        <w:t>with</w:t>
      </w:r>
      <w:r w:rsidR="00221AD1">
        <w:rPr>
          <w:lang w:val="en-GB"/>
        </w:rPr>
        <w:t xml:space="preserve"> the manufacture</w:t>
      </w:r>
      <w:r w:rsidR="00C9620F">
        <w:rPr>
          <w:lang w:val="en-GB"/>
        </w:rPr>
        <w:t>r</w:t>
      </w:r>
      <w:r w:rsidR="00221AD1">
        <w:rPr>
          <w:lang w:val="en-GB"/>
        </w:rPr>
        <w:t>’s instructions</w:t>
      </w:r>
      <w:r w:rsidR="00764B5A">
        <w:rPr>
          <w:lang w:val="en-GB"/>
        </w:rPr>
        <w:t xml:space="preserve"> (</w:t>
      </w:r>
      <w:hyperlink r:id="rId12" w:history="1">
        <w:r w:rsidR="00764B5A" w:rsidRPr="00FC7C50">
          <w:rPr>
            <w:rStyle w:val="Hyperlink"/>
            <w:lang w:val="en-GB"/>
          </w:rPr>
          <w:t>https://tinyurl.com/ujr5j45b</w:t>
        </w:r>
      </w:hyperlink>
      <w:r w:rsidR="00764B5A">
        <w:rPr>
          <w:lang w:val="en-GB"/>
        </w:rPr>
        <w:t>)</w:t>
      </w:r>
      <w:r w:rsidR="00941E2C">
        <w:rPr>
          <w:lang w:val="en-GB"/>
        </w:rPr>
        <w:t xml:space="preserve">. Briefly, the </w:t>
      </w:r>
      <w:r w:rsidR="003672EB">
        <w:rPr>
          <w:lang w:val="en-GB"/>
        </w:rPr>
        <w:t>hypervariable V3-V4 regions were amplified via</w:t>
      </w:r>
      <w:r w:rsidR="00941E2C">
        <w:rPr>
          <w:lang w:val="en-GB"/>
        </w:rPr>
        <w:t xml:space="preserve"> a nested polymerase chain reaction (PCR) procedure</w:t>
      </w:r>
      <w:r w:rsidR="003672EB">
        <w:rPr>
          <w:lang w:val="en-GB"/>
        </w:rPr>
        <w:t xml:space="preserve">, as described previously </w:t>
      </w:r>
      <w:r w:rsidR="003672EB">
        <w:rPr>
          <w:lang w:val="en-GB"/>
        </w:rPr>
        <w:fldChar w:fldCharType="begin" w:fldLock="1"/>
      </w:r>
      <w:r w:rsidR="0026480B">
        <w:rPr>
          <w:lang w:val="en-GB"/>
        </w:rPr>
        <w:instrText>ADDIN CSL_CITATION {"citationItems":[{"id":"ITEM-1","itemData":{"ISSN":"1471-2180","author":[{"dropping-particle":"","family":"Gosiewski","given":"Tomasz","non-dropping-particle":"","parse-names":false,"suffix":""},{"dropping-particle":"","family":"Jurkiewicz-Badacz","given":"Danuta","non-dropping-particle":"","parse-names":false,"suffix":""},{"dropping-particle":"","family":"Sroka","given":"Agnieszka","non-dropping-particle":"","parse-names":false,"suffix":""},{"dropping-particle":"","family":"Brzychczy-Włoch","given":"Monika","non-dropping-particle":"","parse-names":false,"suffix":""},{"dropping-particle":"","family":"Bulanda","given":"Małgorzata","non-dropping-particle":"","parse-names":false,"suffix":""}],"container-title":"BMC microbiology","id":"ITEM-1","issue":"1","issued":{"date-parts":[["2014"]]},"page":"1-7","publisher":"Springer","title":"A novel, nested, multiplex, real-time PCR for detection of bacteria and fungi in blood","type":"article-journal","volume":"14"},"uris":["http://www.mendeley.com/documents/?uuid=89764cde-b266-444c-8e62-ee33f084039a"]}],"mendeley":{"formattedCitation":"(Gosiewski, Jurkiewicz-Badacz, &lt;i&gt;et al.&lt;/i&gt;, 2014)","plainTextFormattedCitation":"(Gosiewski, Jurkiewicz-Badacz, et al., 2014)","previouslyFormattedCitation":"(Gosiewski, Jurkiewicz-Badacz, &lt;i&gt;et al.&lt;/i&gt;, 2014)"},"properties":{"noteIndex":0},"schema":"https://github.com/citation-style-language/schema/raw/master/csl-citation.json"}</w:instrText>
      </w:r>
      <w:r w:rsidR="003672EB">
        <w:rPr>
          <w:lang w:val="en-GB"/>
        </w:rPr>
        <w:fldChar w:fldCharType="separate"/>
      </w:r>
      <w:r w:rsidR="003672EB" w:rsidRPr="003672EB">
        <w:rPr>
          <w:noProof/>
          <w:lang w:val="en-GB"/>
        </w:rPr>
        <w:t xml:space="preserve">(Gosiewski, Jurkiewicz-Badacz, </w:t>
      </w:r>
      <w:r w:rsidR="003672EB" w:rsidRPr="003672EB">
        <w:rPr>
          <w:i/>
          <w:noProof/>
          <w:lang w:val="en-GB"/>
        </w:rPr>
        <w:t>et al.</w:t>
      </w:r>
      <w:r w:rsidR="003672EB" w:rsidRPr="003672EB">
        <w:rPr>
          <w:noProof/>
          <w:lang w:val="en-GB"/>
        </w:rPr>
        <w:t>, 2014)</w:t>
      </w:r>
      <w:r w:rsidR="003672EB">
        <w:rPr>
          <w:lang w:val="en-GB"/>
        </w:rPr>
        <w:fldChar w:fldCharType="end"/>
      </w:r>
      <w:r w:rsidR="003672EB">
        <w:rPr>
          <w:lang w:val="en-GB"/>
        </w:rPr>
        <w:t xml:space="preserve">. PCR </w:t>
      </w:r>
      <w:r w:rsidR="00941E2C">
        <w:rPr>
          <w:lang w:val="en-GB"/>
        </w:rPr>
        <w:t>was carried out using the</w:t>
      </w:r>
      <w:r w:rsidR="00E378C0" w:rsidRPr="00E378C0">
        <w:rPr>
          <w:lang w:val="en-GB"/>
        </w:rPr>
        <w:t xml:space="preserve"> </w:t>
      </w:r>
      <w:r w:rsidR="00941E2C" w:rsidRPr="00E378C0">
        <w:rPr>
          <w:lang w:val="en-GB"/>
        </w:rPr>
        <w:t>KAPA HiFi HotStart ReadyMix kit (KAPA BIOSYSTEMS) on</w:t>
      </w:r>
      <w:r w:rsidR="00941E2C">
        <w:rPr>
          <w:lang w:val="en-GB"/>
        </w:rPr>
        <w:t xml:space="preserve"> a</w:t>
      </w:r>
      <w:r w:rsidR="00941E2C" w:rsidRPr="00E378C0">
        <w:rPr>
          <w:lang w:val="en-GB"/>
        </w:rPr>
        <w:t xml:space="preserve"> C100 thermal cycler (BioRad)</w:t>
      </w:r>
      <w:r w:rsidR="00941E2C">
        <w:rPr>
          <w:lang w:val="en-GB"/>
        </w:rPr>
        <w:t>.</w:t>
      </w:r>
      <w:r w:rsidR="00E378C0" w:rsidRPr="00E378C0">
        <w:rPr>
          <w:lang w:val="en-GB"/>
        </w:rPr>
        <w:t xml:space="preserve"> </w:t>
      </w:r>
      <w:r w:rsidR="00B44C4F">
        <w:rPr>
          <w:lang w:val="en-GB"/>
        </w:rPr>
        <w:t xml:space="preserve">The final DNA concentration of amplicon libraries for each sample was quantified using </w:t>
      </w:r>
      <w:r w:rsidR="00B44C4F">
        <w:rPr>
          <w:color w:val="000000"/>
          <w:shd w:val="clear" w:color="auto" w:fill="FFFFFF"/>
        </w:rPr>
        <w:t>PicoGreen (Life Technologies)</w:t>
      </w:r>
      <w:r w:rsidR="00B44C4F">
        <w:rPr>
          <w:lang w:val="en-GB"/>
        </w:rPr>
        <w:t>. The libraries were then normalised to the same concentration and pooled to yield a single sequencing library. The sequences of all primers and adapters used are shown in Table 1.</w:t>
      </w:r>
      <w:r w:rsidR="00E378C0" w:rsidRPr="00E378C0">
        <w:rPr>
          <w:lang w:val="en-GB"/>
        </w:rPr>
        <w:t xml:space="preserve"> Sequencing was performed using the MiSeq Reagent Kit v3 (600 cycles</w:t>
      </w:r>
      <w:r w:rsidR="00485FAE">
        <w:rPr>
          <w:lang w:val="en-GB"/>
        </w:rPr>
        <w:t>)</w:t>
      </w:r>
      <w:r w:rsidR="00E45530">
        <w:rPr>
          <w:lang w:val="en-GB"/>
        </w:rPr>
        <w:t xml:space="preserve"> with a </w:t>
      </w:r>
      <w:r w:rsidR="00E45530" w:rsidRPr="00E378C0">
        <w:rPr>
          <w:lang w:val="en-GB"/>
        </w:rPr>
        <w:t>20</w:t>
      </w:r>
      <w:r w:rsidR="00E45530">
        <w:rPr>
          <w:lang w:val="en-GB"/>
        </w:rPr>
        <w:t>%</w:t>
      </w:r>
      <w:r w:rsidR="00E45530" w:rsidRPr="00E378C0">
        <w:rPr>
          <w:lang w:val="en-GB"/>
        </w:rPr>
        <w:t xml:space="preserve"> PhiX </w:t>
      </w:r>
      <w:r w:rsidR="00E45530">
        <w:rPr>
          <w:lang w:val="en-GB"/>
        </w:rPr>
        <w:t>spike-in as an internal control</w:t>
      </w:r>
      <w:r w:rsidR="00E378C0" w:rsidRPr="00E378C0">
        <w:rPr>
          <w:lang w:val="en-GB"/>
        </w:rPr>
        <w:t xml:space="preserve">. </w:t>
      </w:r>
    </w:p>
    <w:p w14:paraId="46EFFA8E" w14:textId="3B97F479" w:rsidR="00374042" w:rsidRPr="00B94335" w:rsidRDefault="00A30795" w:rsidP="00B94335">
      <w:pPr>
        <w:pStyle w:val="Heading2"/>
        <w:rPr>
          <w:rStyle w:val="Heading3Char"/>
          <w:b/>
          <w:szCs w:val="26"/>
        </w:rPr>
      </w:pPr>
      <w:r>
        <w:rPr>
          <w:rStyle w:val="Heading3Char"/>
          <w:b/>
          <w:szCs w:val="26"/>
        </w:rPr>
        <w:t>Sequencing read</w:t>
      </w:r>
      <w:r w:rsidR="00374042" w:rsidRPr="00B94335">
        <w:rPr>
          <w:rStyle w:val="Heading3Char"/>
          <w:b/>
          <w:szCs w:val="26"/>
        </w:rPr>
        <w:t xml:space="preserve"> processing</w:t>
      </w:r>
    </w:p>
    <w:p w14:paraId="6A247CC0" w14:textId="5EFB4AD0" w:rsidR="00374042" w:rsidRPr="00A30795" w:rsidRDefault="00374042" w:rsidP="00B97119">
      <w:pPr>
        <w:rPr>
          <w:lang w:val="en-GB"/>
        </w:rPr>
      </w:pPr>
      <w:r>
        <w:rPr>
          <w:lang w:val="en-GB"/>
        </w:rPr>
        <w:t xml:space="preserve">Raw sequencing reads were demultiplexed </w:t>
      </w:r>
      <w:r w:rsidR="00371D2A">
        <w:rPr>
          <w:lang w:val="en-GB"/>
        </w:rPr>
        <w:t>using</w:t>
      </w:r>
      <w:r>
        <w:rPr>
          <w:lang w:val="en-GB"/>
        </w:rPr>
        <w:t xml:space="preserve"> bcl2fastq (v2.17.1.14; default parameters)</w:t>
      </w:r>
      <w:r w:rsidR="00A80DBA">
        <w:rPr>
          <w:lang w:val="en-GB"/>
        </w:rPr>
        <w:t>. P</w:t>
      </w:r>
      <w:r w:rsidR="00371D2A">
        <w:rPr>
          <w:rFonts w:eastAsia="Times New Roman"/>
          <w:lang w:val="en-GB"/>
        </w:rPr>
        <w:t>rimers and sequencing adapters were removed</w:t>
      </w:r>
      <w:r w:rsidR="00A80DBA">
        <w:rPr>
          <w:rFonts w:eastAsia="Times New Roman"/>
          <w:lang w:val="en-GB"/>
        </w:rPr>
        <w:t>, and low-quality bases at the start and end of reads were trimmed</w:t>
      </w:r>
      <w:r w:rsidR="00371D2A">
        <w:rPr>
          <w:rFonts w:eastAsia="Times New Roman"/>
          <w:lang w:val="en-GB"/>
        </w:rPr>
        <w:t xml:space="preserve"> using </w:t>
      </w:r>
      <w:r w:rsidR="00371D2A">
        <w:rPr>
          <w:rFonts w:eastAsia="Times New Roman"/>
          <w:i/>
          <w:iCs/>
          <w:lang w:val="en-GB"/>
        </w:rPr>
        <w:t>Cutadapt</w:t>
      </w:r>
      <w:r w:rsidR="00371D2A">
        <w:rPr>
          <w:rFonts w:eastAsia="Times New Roman"/>
          <w:lang w:val="en-GB"/>
        </w:rPr>
        <w:t xml:space="preserve"> </w:t>
      </w:r>
      <w:r w:rsidR="00371D2A">
        <w:rPr>
          <w:lang w:val="en-GB"/>
        </w:rPr>
        <w:t>(v</w:t>
      </w:r>
      <w:r w:rsidR="00A80DBA">
        <w:rPr>
          <w:lang w:val="en-GB"/>
        </w:rPr>
        <w:t>2</w:t>
      </w:r>
      <w:r w:rsidR="00371D2A">
        <w:rPr>
          <w:lang w:val="en-GB"/>
        </w:rPr>
        <w:t>.</w:t>
      </w:r>
      <w:r w:rsidR="00A80DBA">
        <w:rPr>
          <w:lang w:val="en-GB"/>
        </w:rPr>
        <w:t>6</w:t>
      </w:r>
      <w:r w:rsidR="00371D2A">
        <w:rPr>
          <w:lang w:val="en-GB"/>
        </w:rPr>
        <w:t xml:space="preserve">) </w:t>
      </w:r>
      <w:r w:rsidR="00371D2A">
        <w:rPr>
          <w:lang w:val="en-GB"/>
        </w:rPr>
        <w:fldChar w:fldCharType="begin" w:fldLock="1"/>
      </w:r>
      <w:r w:rsidR="00371D2A">
        <w:rPr>
          <w:lang w:val="en-GB"/>
        </w:rPr>
        <w:instrText>ADDIN CSL_CITATION {"citationItems":[{"id":"ITEM-1","itemData":{"ISSN":"2226-6089","author":[{"dropping-particle":"","family":"Martin","given":"Marcel","non-dropping-particle":"","parse-names":false,"suffix":""}],"container-title":"EMBnet. journal","id":"ITEM-1","issue":"1","issued":{"date-parts":[["2011"]]},"page":"10-12","title":"Cutadapt removes adapter sequences from high-throughput sequencing reads","type":"article-journal","volume":"17"},"uris":["http://www.mendeley.com/documents/?uuid=7054d632-21b2-4f40-9da9-82f18b7c43cb"]}],"mendeley":{"formattedCitation":"(Martin, 2011)","plainTextFormattedCitation":"(Martin, 2011)","previouslyFormattedCitation":"(Martin, 2011)"},"properties":{"noteIndex":0},"schema":"https://github.com/citation-style-language/schema/raw/master/csl-citation.json"}</w:instrText>
      </w:r>
      <w:r w:rsidR="00371D2A">
        <w:rPr>
          <w:lang w:val="en-GB"/>
        </w:rPr>
        <w:fldChar w:fldCharType="separate"/>
      </w:r>
      <w:r w:rsidR="00371D2A" w:rsidRPr="006E7F3F">
        <w:rPr>
          <w:noProof/>
          <w:lang w:val="en-GB"/>
        </w:rPr>
        <w:t>(Martin, 2011)</w:t>
      </w:r>
      <w:r w:rsidR="00371D2A">
        <w:rPr>
          <w:lang w:val="en-GB"/>
        </w:rPr>
        <w:fldChar w:fldCharType="end"/>
      </w:r>
      <w:r w:rsidR="00371D2A">
        <w:rPr>
          <w:rFonts w:eastAsia="Times New Roman"/>
          <w:lang w:val="en-GB"/>
        </w:rPr>
        <w:t>.</w:t>
      </w:r>
      <w:r w:rsidR="008136E1">
        <w:rPr>
          <w:rFonts w:eastAsia="Times New Roman"/>
          <w:lang w:val="en-GB"/>
        </w:rPr>
        <w:t xml:space="preserve"> </w:t>
      </w:r>
      <w:r w:rsidR="00B124F7">
        <w:rPr>
          <w:rFonts w:eastAsia="Times New Roman"/>
          <w:lang w:val="en-GB"/>
        </w:rPr>
        <w:t>R</w:t>
      </w:r>
      <w:r w:rsidR="00371D2A">
        <w:rPr>
          <w:rFonts w:eastAsia="Times New Roman"/>
          <w:lang w:val="en-GB"/>
        </w:rPr>
        <w:t>ead</w:t>
      </w:r>
      <w:r w:rsidR="008136E1">
        <w:rPr>
          <w:rFonts w:eastAsia="Times New Roman"/>
          <w:lang w:val="en-GB"/>
        </w:rPr>
        <w:t xml:space="preserve"> pairs were</w:t>
      </w:r>
      <w:r w:rsidR="00371D2A">
        <w:rPr>
          <w:rFonts w:eastAsia="Times New Roman"/>
          <w:lang w:val="en-GB"/>
        </w:rPr>
        <w:t xml:space="preserve"> </w:t>
      </w:r>
      <w:r w:rsidR="00B124F7">
        <w:rPr>
          <w:rFonts w:eastAsia="Times New Roman"/>
          <w:lang w:val="en-GB"/>
        </w:rPr>
        <w:t xml:space="preserve">then </w:t>
      </w:r>
      <w:r w:rsidR="00371D2A">
        <w:rPr>
          <w:rFonts w:eastAsia="Times New Roman"/>
          <w:lang w:val="en-GB"/>
        </w:rPr>
        <w:t xml:space="preserve">merged using </w:t>
      </w:r>
      <w:r w:rsidR="00371D2A">
        <w:rPr>
          <w:rFonts w:eastAsia="Times New Roman"/>
          <w:i/>
          <w:iCs/>
          <w:lang w:val="en-GB"/>
        </w:rPr>
        <w:t xml:space="preserve">ea-utils </w:t>
      </w:r>
      <w:r w:rsidR="00371D2A">
        <w:rPr>
          <w:lang w:val="en-GB"/>
        </w:rPr>
        <w:lastRenderedPageBreak/>
        <w:t>(v</w:t>
      </w:r>
      <w:r w:rsidR="00834ABF" w:rsidRPr="00834ABF">
        <w:rPr>
          <w:lang w:val="en-GB"/>
        </w:rPr>
        <w:t>1.1.2.779</w:t>
      </w:r>
      <w:r w:rsidR="00834ABF">
        <w:rPr>
          <w:lang w:val="en-GB"/>
        </w:rPr>
        <w:t>)</w:t>
      </w:r>
      <w:r w:rsidR="00371D2A">
        <w:rPr>
          <w:lang w:val="en-GB"/>
        </w:rPr>
        <w:t xml:space="preserve"> </w:t>
      </w:r>
      <w:r w:rsidR="00371D2A">
        <w:rPr>
          <w:lang w:val="en-GB"/>
        </w:rPr>
        <w:fldChar w:fldCharType="begin" w:fldLock="1"/>
      </w:r>
      <w:r w:rsidR="00371D2A">
        <w:rPr>
          <w:lang w:val="en-GB"/>
        </w:rPr>
        <w:instrText>ADDIN CSL_CITATION {"citationItems":[{"id":"ITEM-1","itemData":{"author":[{"dropping-particle":"","family":"Aronesty","given":"Erik","non-dropping-particle":"","parse-names":false,"suffix":""}],"container-title":"The open bioinformatics journal","id":"ITEM-1","issue":"1","issued":{"date-parts":[["2013"]]},"title":"Comparison of sequencing utility programs","type":"article-journal","volume":"7"},"uris":["http://www.mendeley.com/documents/?uuid=657fc10e-35a2-4651-9e62-a467848a61ef"]}],"mendeley":{"formattedCitation":"(Aronesty, 2013)","plainTextFormattedCitation":"(Aronesty, 2013)","previouslyFormattedCitation":"(Aronesty, 2013)"},"properties":{"noteIndex":0},"schema":"https://github.com/citation-style-language/schema/raw/master/csl-citation.json"}</w:instrText>
      </w:r>
      <w:r w:rsidR="00371D2A">
        <w:rPr>
          <w:lang w:val="en-GB"/>
        </w:rPr>
        <w:fldChar w:fldCharType="separate"/>
      </w:r>
      <w:r w:rsidR="00371D2A" w:rsidRPr="006E7F3F">
        <w:rPr>
          <w:noProof/>
          <w:lang w:val="en-GB"/>
        </w:rPr>
        <w:t>(Aronesty, 2013)</w:t>
      </w:r>
      <w:r w:rsidR="00371D2A">
        <w:rPr>
          <w:lang w:val="en-GB"/>
        </w:rPr>
        <w:fldChar w:fldCharType="end"/>
      </w:r>
      <w:r w:rsidR="008136E1">
        <w:rPr>
          <w:lang w:val="en-GB"/>
        </w:rPr>
        <w:t xml:space="preserve">. </w:t>
      </w:r>
      <w:r w:rsidR="00892A09">
        <w:rPr>
          <w:lang w:val="en-GB"/>
        </w:rPr>
        <w:t>For read pairs where</w:t>
      </w:r>
      <w:r w:rsidR="008136E1">
        <w:rPr>
          <w:lang w:val="en-GB"/>
        </w:rPr>
        <w:t xml:space="preserve"> merging failed, </w:t>
      </w:r>
      <w:r w:rsidR="00C27A2E">
        <w:rPr>
          <w:lang w:val="en-GB"/>
        </w:rPr>
        <w:t xml:space="preserve">only </w:t>
      </w:r>
      <w:r w:rsidR="008136E1">
        <w:rPr>
          <w:lang w:val="en-GB"/>
        </w:rPr>
        <w:t xml:space="preserve">forward </w:t>
      </w:r>
      <w:r w:rsidR="00717A32">
        <w:rPr>
          <w:lang w:val="en-GB"/>
        </w:rPr>
        <w:t xml:space="preserve">unmerged </w:t>
      </w:r>
      <w:r w:rsidR="008136E1">
        <w:rPr>
          <w:lang w:val="en-GB"/>
        </w:rPr>
        <w:t>reads were retained.</w:t>
      </w:r>
      <w:r w:rsidR="00371D2A">
        <w:rPr>
          <w:lang w:val="en-GB"/>
        </w:rPr>
        <w:t xml:space="preserve"> </w:t>
      </w:r>
      <w:r w:rsidR="008136E1">
        <w:rPr>
          <w:lang w:val="en-GB"/>
        </w:rPr>
        <w:t>R</w:t>
      </w:r>
      <w:r w:rsidR="00371D2A">
        <w:rPr>
          <w:lang w:val="en-GB"/>
        </w:rPr>
        <w:t xml:space="preserve">eads with a Q-score below 20 removed using </w:t>
      </w:r>
      <w:r w:rsidR="00371D2A">
        <w:rPr>
          <w:i/>
          <w:iCs/>
          <w:lang w:val="en-GB"/>
        </w:rPr>
        <w:t>BBMap</w:t>
      </w:r>
      <w:r w:rsidR="008136E1">
        <w:rPr>
          <w:i/>
          <w:iCs/>
          <w:lang w:val="en-GB"/>
        </w:rPr>
        <w:t xml:space="preserve"> </w:t>
      </w:r>
      <w:r w:rsidR="008136E1">
        <w:rPr>
          <w:lang w:val="en-GB"/>
        </w:rPr>
        <w:t>(v38.</w:t>
      </w:r>
      <w:r w:rsidR="00855438">
        <w:rPr>
          <w:lang w:val="en-GB"/>
        </w:rPr>
        <w:t>18</w:t>
      </w:r>
      <w:r w:rsidR="008136E1">
        <w:rPr>
          <w:lang w:val="en-GB"/>
        </w:rPr>
        <w:t xml:space="preserve">) </w:t>
      </w:r>
      <w:r w:rsidR="008136E1">
        <w:rPr>
          <w:lang w:val="en-GB"/>
        </w:rPr>
        <w:fldChar w:fldCharType="begin" w:fldLock="1"/>
      </w:r>
      <w:r w:rsidR="008136E1">
        <w:rPr>
          <w:lang w:val="en-GB"/>
        </w:rPr>
        <w:instrText>ADDIN CSL_CITATION {"citationItems":[{"id":"ITEM-1","itemData":{"author":[{"dropping-particle":"","family":"Bushnell","given":"Brian","non-dropping-particle":"","parse-names":false,"suffix":""}],"id":"ITEM-1","issued":{"date-parts":[["2014"]]},"publisher":"Lawrence Berkeley National Lab.(LBNL), Berkeley, CA (United States)","title":"BBMap: a fast, accurate, splice-aware aligner","type":"report"},"uris":["http://www.mendeley.com/documents/?uuid=5fe08032-3d56-4f40-826c-ca3fb06fb98f"]}],"mendeley":{"formattedCitation":"(Bushnell, 2014)","plainTextFormattedCitation":"(Bushnell, 2014)","previouslyFormattedCitation":"(Bushnell, 2014)"},"properties":{"noteIndex":0},"schema":"https://github.com/citation-style-language/schema/raw/master/csl-citation.json"}</w:instrText>
      </w:r>
      <w:r w:rsidR="008136E1">
        <w:rPr>
          <w:lang w:val="en-GB"/>
        </w:rPr>
        <w:fldChar w:fldCharType="separate"/>
      </w:r>
      <w:r w:rsidR="008136E1" w:rsidRPr="006E7F3F">
        <w:rPr>
          <w:noProof/>
          <w:lang w:val="en-GB"/>
        </w:rPr>
        <w:t>(Bushnell, 2014)</w:t>
      </w:r>
      <w:r w:rsidR="008136E1">
        <w:rPr>
          <w:lang w:val="en-GB"/>
        </w:rPr>
        <w:fldChar w:fldCharType="end"/>
      </w:r>
      <w:r w:rsidR="00371D2A">
        <w:rPr>
          <w:lang w:val="en-GB"/>
        </w:rPr>
        <w:t>.</w:t>
      </w:r>
      <w:r w:rsidR="008136E1">
        <w:rPr>
          <w:lang w:val="en-GB"/>
        </w:rPr>
        <w:t xml:space="preserve"> </w:t>
      </w:r>
      <w:r w:rsidR="00444E3F">
        <w:rPr>
          <w:lang w:val="en-GB"/>
        </w:rPr>
        <w:t xml:space="preserve">Samples with less than 10,000 reads were excluded from further analysis. </w:t>
      </w:r>
      <w:r w:rsidR="00A30795">
        <w:rPr>
          <w:lang w:val="en-GB"/>
        </w:rPr>
        <w:t>Read quality</w:t>
      </w:r>
      <w:r w:rsidR="001D421C">
        <w:rPr>
          <w:lang w:val="en-GB"/>
        </w:rPr>
        <w:t xml:space="preserve"> assessments </w:t>
      </w:r>
      <w:r w:rsidR="00A30795">
        <w:rPr>
          <w:lang w:val="en-GB"/>
        </w:rPr>
        <w:t xml:space="preserve">before and after processing was performed using the </w:t>
      </w:r>
      <w:r w:rsidR="00A30795" w:rsidRPr="00A30795">
        <w:rPr>
          <w:i/>
          <w:iCs/>
          <w:lang w:val="en-GB"/>
        </w:rPr>
        <w:t>fastqcr</w:t>
      </w:r>
      <w:r w:rsidR="00A30795">
        <w:rPr>
          <w:lang w:val="en-GB"/>
        </w:rPr>
        <w:t xml:space="preserve"> </w:t>
      </w:r>
      <w:r w:rsidR="00F81811">
        <w:rPr>
          <w:lang w:val="en-GB"/>
        </w:rPr>
        <w:t>package (v0.1.2)</w:t>
      </w:r>
      <w:r w:rsidR="00747E63">
        <w:rPr>
          <w:lang w:val="en-GB"/>
        </w:rPr>
        <w:t xml:space="preserve"> </w:t>
      </w:r>
      <w:r w:rsidR="00747E63">
        <w:rPr>
          <w:lang w:val="en-GB"/>
        </w:rPr>
        <w:fldChar w:fldCharType="begin" w:fldLock="1"/>
      </w:r>
      <w:r w:rsidR="00952BAE">
        <w:rPr>
          <w:lang w:val="en-GB"/>
        </w:rPr>
        <w:instrText>ADDIN CSL_CITATION {"citationItems":[{"id":"ITEM-1","itemData":{"author":[{"dropping-particle":"","family":"Andrews","given":"Simon","non-dropping-particle":"","parse-names":false,"suffix":""}],"id":"ITEM-1","issued":{"date-parts":[["2010"]]},"publisher":"Babraham Bioinformatics, Babraham Institute, Cambridge, United Kingdom","title":"FastQC: a quality control tool for high throughput sequence data","type":"article"},"uris":["http://www.mendeley.com/documents/?uuid=3dd40022-7483-42f3-84ca-77d559b94a82"]}],"mendeley":{"formattedCitation":"(Andrews, 2010)","plainTextFormattedCitation":"(Andrews, 2010)","previouslyFormattedCitation":"(Andrews, 2010)"},"properties":{"noteIndex":0},"schema":"https://github.com/citation-style-language/schema/raw/master/csl-citation.json"}</w:instrText>
      </w:r>
      <w:r w:rsidR="00747E63">
        <w:rPr>
          <w:lang w:val="en-GB"/>
        </w:rPr>
        <w:fldChar w:fldCharType="separate"/>
      </w:r>
      <w:r w:rsidR="00747E63" w:rsidRPr="00747E63">
        <w:rPr>
          <w:noProof/>
          <w:lang w:val="en-GB"/>
        </w:rPr>
        <w:t>(Andrews, 2010)</w:t>
      </w:r>
      <w:r w:rsidR="00747E63">
        <w:rPr>
          <w:lang w:val="en-GB"/>
        </w:rPr>
        <w:fldChar w:fldCharType="end"/>
      </w:r>
      <w:r w:rsidR="00F81811">
        <w:rPr>
          <w:lang w:val="en-GB"/>
        </w:rPr>
        <w:t xml:space="preserve"> in </w:t>
      </w:r>
      <w:r w:rsidR="00A30795" w:rsidRPr="00A30795">
        <w:rPr>
          <w:i/>
          <w:iCs/>
          <w:lang w:val="en-GB"/>
        </w:rPr>
        <w:t>R</w:t>
      </w:r>
      <w:r w:rsidR="00F81811">
        <w:rPr>
          <w:lang w:val="en-GB"/>
        </w:rPr>
        <w:t>.</w:t>
      </w:r>
    </w:p>
    <w:p w14:paraId="56FD7018" w14:textId="62CF4B3A" w:rsidR="009D4340" w:rsidRDefault="00E3236C" w:rsidP="009D4340">
      <w:pPr>
        <w:pStyle w:val="Heading2"/>
        <w:rPr>
          <w:lang w:val="en-GB"/>
        </w:rPr>
      </w:pPr>
      <w:r>
        <w:rPr>
          <w:lang w:val="en-GB"/>
        </w:rPr>
        <w:t xml:space="preserve">Taxonomic </w:t>
      </w:r>
      <w:r w:rsidR="009D4340">
        <w:rPr>
          <w:lang w:val="en-GB"/>
        </w:rPr>
        <w:t>classification</w:t>
      </w:r>
    </w:p>
    <w:p w14:paraId="6AFC31CF" w14:textId="3CCF4694" w:rsidR="00221AD1" w:rsidRPr="00C72EEC" w:rsidRDefault="0026480B" w:rsidP="0026480B">
      <w:pPr>
        <w:rPr>
          <w:lang w:val="en-GB"/>
        </w:rPr>
      </w:pPr>
      <w:r w:rsidRPr="0026480B">
        <w:rPr>
          <w:i/>
          <w:iCs/>
          <w:lang w:val="en-GB"/>
        </w:rPr>
        <w:t>Kraken 2</w:t>
      </w:r>
      <w:r>
        <w:rPr>
          <w:lang w:val="en-GB"/>
        </w:rPr>
        <w:t xml:space="preserve"> (v2.0.7-beta; default parameters) </w:t>
      </w:r>
      <w:r>
        <w:rPr>
          <w:lang w:val="en-GB"/>
        </w:rPr>
        <w:fldChar w:fldCharType="begin" w:fldLock="1"/>
      </w:r>
      <w:r>
        <w:rPr>
          <w:lang w:val="en-GB"/>
        </w:rPr>
        <w:instrText>ADDIN CSL_CITATION {"citationItems":[{"id":"ITEM-1","itemData":{"ISSN":"1474-760X","author":[{"dropping-particle":"","family":"Wood","given":"Derrick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biology","id":"ITEM-1","issue":"1","issued":{"date-parts":[["2019"]]},"page":"257","publisher":"Springer","title":"Improved metagenomic analysis with Kraken 2","type":"article-journal","volume":"20"},"uris":["http://www.mendeley.com/documents/?uuid=aa616374-36f2-441b-8b11-4825975c2682"]}],"mendeley":{"formattedCitation":"(Wood, Lu and Langmead, 2019)","plainTextFormattedCitation":"(Wood, Lu and Langmead, 2019)","previouslyFormattedCitation":"(Wood, Lu and Langmead, 2019)"},"properties":{"noteIndex":0},"schema":"https://github.com/citation-style-language/schema/raw/master/csl-citation.json"}</w:instrText>
      </w:r>
      <w:r>
        <w:rPr>
          <w:lang w:val="en-GB"/>
        </w:rPr>
        <w:fldChar w:fldCharType="separate"/>
      </w:r>
      <w:r w:rsidRPr="0026480B">
        <w:rPr>
          <w:noProof/>
          <w:lang w:val="en-GB"/>
        </w:rPr>
        <w:t>(Wood, Lu and Langmead, 2019)</w:t>
      </w:r>
      <w:r>
        <w:rPr>
          <w:lang w:val="en-GB"/>
        </w:rPr>
        <w:fldChar w:fldCharType="end"/>
      </w:r>
      <w:r>
        <w:rPr>
          <w:lang w:val="en-GB"/>
        </w:rPr>
        <w:t xml:space="preserve"> was used to assign each processed read to a particular taxon based on </w:t>
      </w:r>
      <w:r w:rsidR="004C748B">
        <w:rPr>
          <w:lang w:val="en-GB"/>
        </w:rPr>
        <w:t xml:space="preserve">the </w:t>
      </w:r>
      <w:r w:rsidR="00FF7003" w:rsidRPr="00FF7003">
        <w:rPr>
          <w:i/>
          <w:iCs/>
          <w:lang w:val="en-GB"/>
        </w:rPr>
        <w:t>Kraken 2</w:t>
      </w:r>
      <w:r w:rsidR="00FF7003">
        <w:rPr>
          <w:lang w:val="en-GB"/>
        </w:rPr>
        <w:t xml:space="preserve">-built </w:t>
      </w:r>
      <w:r w:rsidRPr="0026480B">
        <w:rPr>
          <w:i/>
          <w:iCs/>
          <w:lang w:val="en-GB"/>
        </w:rPr>
        <w:t xml:space="preserve">SILVA </w:t>
      </w:r>
      <w:r>
        <w:rPr>
          <w:lang w:val="en-GB"/>
        </w:rPr>
        <w:t xml:space="preserve">database (v138) </w:t>
      </w:r>
      <w:r>
        <w:rPr>
          <w:lang w:val="en-GB"/>
        </w:rPr>
        <w:fldChar w:fldCharType="begin" w:fldLock="1"/>
      </w:r>
      <w:r w:rsidR="00E7364B">
        <w:rPr>
          <w:lang w:val="en-GB"/>
        </w:rPr>
        <w:instrText>ADDIN CSL_CITATION {"citationItems":[{"id":"ITEM-1","itemData":{"ISSN":"0305-1048","author":[{"dropping-particle":"","family":"Quast","given":"Christian","non-dropping-particle":"","parse-names":false,"suffix":""},{"dropping-particle":"","family":"Pruesse","given":"Elmar","non-dropping-particle":"","parse-names":false,"suffix":""},{"dropping-particle":"","family":"Yilmaz","given":"Pelin","non-dropping-particle":"","parse-names":false,"suffix":""},{"dropping-particle":"","family":"Gerken","given":"Jan","non-dropping-particle":"","parse-names":false,"suffix":""},{"dropping-particle":"","family":"Schweer","given":"Timmy","non-dropping-particle":"","parse-names":false,"suffix":""},{"dropping-particle":"","family":"Yarza","given":"Pablo","non-dropping-particle":"","parse-names":false,"suffix":""},{"dropping-particle":"","family":"Peplies","given":"Jörg","non-dropping-particle":"","parse-names":false,"suffix":""},{"dropping-particle":"","family":"Glöckner","given":"Frank Oliver","non-dropping-particle":"","parse-names":false,"suffix":""}],"container-title":"Nucleic acids research","id":"ITEM-1","issue":"D1","issued":{"date-parts":[["2012"]]},"page":"D590-D596","publisher":"Oxford University Press","title":"The SILVA ribosomal RNA gene database project: improved data processing and web-based tools","type":"article-journal","volume":"41"},"uris":["http://www.mendeley.com/documents/?uuid=3e089434-60dd-4533-92f4-36228b4271c8"]}],"mendeley":{"formattedCitation":"(Quast &lt;i&gt;et al.&lt;/i&gt;, 2012)","plainTextFormattedCitation":"(Quast et al., 2012)","previouslyFormattedCitation":"(Quast &lt;i&gt;et al.&lt;/i&gt;, 2012)"},"properties":{"noteIndex":0},"schema":"https://github.com/citation-style-language/schema/raw/master/csl-citation.json"}</w:instrText>
      </w:r>
      <w:r>
        <w:rPr>
          <w:lang w:val="en-GB"/>
        </w:rPr>
        <w:fldChar w:fldCharType="separate"/>
      </w:r>
      <w:r w:rsidRPr="0026480B">
        <w:rPr>
          <w:noProof/>
          <w:lang w:val="en-GB"/>
        </w:rPr>
        <w:t xml:space="preserve">(Quast </w:t>
      </w:r>
      <w:r w:rsidRPr="0026480B">
        <w:rPr>
          <w:i/>
          <w:noProof/>
          <w:lang w:val="en-GB"/>
        </w:rPr>
        <w:t>et al.</w:t>
      </w:r>
      <w:r w:rsidRPr="0026480B">
        <w:rPr>
          <w:noProof/>
          <w:lang w:val="en-GB"/>
        </w:rPr>
        <w:t>, 2012)</w:t>
      </w:r>
      <w:r>
        <w:rPr>
          <w:lang w:val="en-GB"/>
        </w:rPr>
        <w:fldChar w:fldCharType="end"/>
      </w:r>
      <w:r>
        <w:rPr>
          <w:lang w:val="en-GB"/>
        </w:rPr>
        <w:t>.</w:t>
      </w:r>
      <w:r w:rsidR="00F2668D">
        <w:rPr>
          <w:lang w:val="en-GB"/>
        </w:rPr>
        <w:t xml:space="preserve"> </w:t>
      </w:r>
      <w:r w:rsidR="00C72EEC">
        <w:rPr>
          <w:lang w:val="en-GB"/>
        </w:rPr>
        <w:t>A</w:t>
      </w:r>
      <w:r w:rsidR="00974F0B">
        <w:rPr>
          <w:lang w:val="en-GB"/>
        </w:rPr>
        <w:t xml:space="preserve">ll unclassified reads were excluded from the analyses. </w:t>
      </w:r>
      <w:r w:rsidR="00221AD1" w:rsidRPr="00C72EEC">
        <w:t xml:space="preserve">The taxonomic assignments for </w:t>
      </w:r>
      <w:r w:rsidR="008935E4">
        <w:t>all</w:t>
      </w:r>
      <w:r w:rsidR="00221AD1" w:rsidRPr="00C72EEC">
        <w:t xml:space="preserve"> reads were aggregated to generate a</w:t>
      </w:r>
      <w:r w:rsidR="00F23970">
        <w:t xml:space="preserve"> relative </w:t>
      </w:r>
      <w:r w:rsidR="00221AD1" w:rsidRPr="00C72EEC">
        <w:t>abundance matrix</w:t>
      </w:r>
      <w:r w:rsidR="008935E4">
        <w:t xml:space="preserve"> using</w:t>
      </w:r>
      <w:r w:rsidR="003A6B5E">
        <w:t xml:space="preserve"> a custom </w:t>
      </w:r>
      <w:r w:rsidR="003A6B5E" w:rsidRPr="003A6B5E">
        <w:rPr>
          <w:i/>
          <w:iCs/>
        </w:rPr>
        <w:t>Python</w:t>
      </w:r>
      <w:r w:rsidR="003A6B5E">
        <w:t xml:space="preserve"> script</w:t>
      </w:r>
      <w:r w:rsidR="00B4568F">
        <w:t xml:space="preserve"> written by</w:t>
      </w:r>
      <w:r w:rsidR="00CE6AC5">
        <w:t xml:space="preserve"> </w:t>
      </w:r>
      <w:r w:rsidR="00CE6AC5">
        <w:fldChar w:fldCharType="begin" w:fldLock="1"/>
      </w:r>
      <w:r w:rsidR="00F127A7">
        <w:instrText>ADDIN CSL_CITATION {"citationItems":[{"id":"ITEM-1","itemData":{"author":[{"dropping-particle":"","family":"Tan","given":"Cedric C S","non-dropping-particle":"","parse-names":false,"suffix":""},{"dropping-particle":"","family":"Acman","given":"Mislav","non-dropping-particle":"","parse-names":false,"suffix":""},{"dropping-particle":"","family":"Dorp","given":"Lucy","non-dropping-particle":"van","parse-names":false,"suffix":""},{"dropping-particle":"","family":"Balloux","given":"Francois","non-dropping-particle":"","parse-names":false,"suffix":""}],"container-title":"bioRxiv","id":"ITEM-1","issued":{"date-parts":[["2020"]]},"publisher":"Cold Spring Harbor Laboratory","title":"Metagenomic evidence for a polymicrobial signature of sepsis","type":"article-journal"},"uris":["http://www.mendeley.com/documents/?uuid=34735501-ee4a-407b-b371-97bf4d0253c9"]}],"mendeley":{"formattedCitation":"(Tan &lt;i&gt;et al.&lt;/i&gt;, 2020)","manualFormatting":"Tan et al. (2020)","plainTextFormattedCitation":"(Tan et al., 2020)","previouslyFormattedCitation":"(Tan &lt;i&gt;et al.&lt;/i&gt;, 2020)"},"properties":{"noteIndex":0},"schema":"https://github.com/citation-style-language/schema/raw/master/csl-citation.json"}</w:instrText>
      </w:r>
      <w:r w:rsidR="00CE6AC5">
        <w:fldChar w:fldCharType="separate"/>
      </w:r>
      <w:r w:rsidR="00CE6AC5" w:rsidRPr="00CE6AC5">
        <w:rPr>
          <w:noProof/>
        </w:rPr>
        <w:t xml:space="preserve">Tan </w:t>
      </w:r>
      <w:r w:rsidR="00CE6AC5" w:rsidRPr="00CE6AC5">
        <w:rPr>
          <w:i/>
          <w:noProof/>
        </w:rPr>
        <w:t>et al.</w:t>
      </w:r>
      <w:r w:rsidR="00CE6AC5" w:rsidRPr="00CE6AC5">
        <w:rPr>
          <w:noProof/>
        </w:rPr>
        <w:t xml:space="preserve"> </w:t>
      </w:r>
      <w:r w:rsidR="00B4568F">
        <w:rPr>
          <w:noProof/>
        </w:rPr>
        <w:t>(</w:t>
      </w:r>
      <w:r w:rsidR="00CE6AC5" w:rsidRPr="00CE6AC5">
        <w:rPr>
          <w:noProof/>
        </w:rPr>
        <w:t>2020)</w:t>
      </w:r>
      <w:r w:rsidR="00CE6AC5">
        <w:fldChar w:fldCharType="end"/>
      </w:r>
      <w:r w:rsidR="005B23CA">
        <w:t>.</w:t>
      </w:r>
      <w:r w:rsidR="00221AD1" w:rsidRPr="00C72EEC">
        <w:t xml:space="preserve"> </w:t>
      </w:r>
      <w:r w:rsidR="005B23CA">
        <w:t xml:space="preserve">In this matrix, </w:t>
      </w:r>
      <w:r w:rsidR="00221AD1" w:rsidRPr="00C72EEC">
        <w:t>samples are represented as rows and genera as columns</w:t>
      </w:r>
      <w:r w:rsidR="005B23CA">
        <w:t xml:space="preserve">. </w:t>
      </w:r>
      <w:r w:rsidR="00221AD1" w:rsidRPr="00C72EEC">
        <w:t xml:space="preserve">Each element </w:t>
      </w:r>
      <w:r w:rsidR="000D7843">
        <w:t>equals</w:t>
      </w:r>
      <w:r w:rsidR="00221AD1" w:rsidRPr="00C72EEC">
        <w:t xml:space="preserve"> the number of reads assigned to a particular genus for a single sample</w:t>
      </w:r>
      <w:r w:rsidR="00F23970">
        <w:t xml:space="preserve"> divided by the total number of reads for said sample</w:t>
      </w:r>
      <w:r w:rsidR="00221AD1" w:rsidRPr="00C72EEC">
        <w:t xml:space="preserve">. </w:t>
      </w:r>
    </w:p>
    <w:p w14:paraId="4DD1830B" w14:textId="55A985DF" w:rsidR="009A1D09" w:rsidRDefault="009A1D09" w:rsidP="00E1731F">
      <w:pPr>
        <w:pStyle w:val="Heading2"/>
        <w:rPr>
          <w:lang w:val="en-GB"/>
        </w:rPr>
      </w:pPr>
      <w:r>
        <w:rPr>
          <w:lang w:val="en-GB"/>
        </w:rPr>
        <w:t>Microbial diversity</w:t>
      </w:r>
    </w:p>
    <w:p w14:paraId="6381B28C" w14:textId="58135AE7" w:rsidR="00523816" w:rsidRPr="00523816" w:rsidRDefault="00822C37" w:rsidP="00523816">
      <w:pPr>
        <w:rPr>
          <w:lang w:val="en-GB"/>
        </w:rPr>
      </w:pPr>
      <w:r>
        <w:rPr>
          <w:lang w:val="en-GB"/>
        </w:rPr>
        <w:t>The r</w:t>
      </w:r>
      <w:r w:rsidR="001F7DD1">
        <w:rPr>
          <w:lang w:val="en-GB"/>
        </w:rPr>
        <w:t>arefaction</w:t>
      </w:r>
      <w:r>
        <w:rPr>
          <w:lang w:val="en-GB"/>
        </w:rPr>
        <w:t xml:space="preserve"> analysis</w:t>
      </w:r>
      <w:r w:rsidR="001F7DD1">
        <w:rPr>
          <w:lang w:val="en-GB"/>
        </w:rPr>
        <w:t xml:space="preserve"> </w:t>
      </w:r>
      <w:r>
        <w:rPr>
          <w:lang w:val="en-GB"/>
        </w:rPr>
        <w:t>of</w:t>
      </w:r>
      <w:r w:rsidR="00D21410">
        <w:rPr>
          <w:lang w:val="en-GB"/>
        </w:rPr>
        <w:t xml:space="preserve"> </w:t>
      </w:r>
      <w:r w:rsidR="00523816">
        <w:rPr>
          <w:lang w:val="en-GB"/>
        </w:rPr>
        <w:t xml:space="preserve">genus richness was performed using the </w:t>
      </w:r>
      <w:r w:rsidR="00523816" w:rsidRPr="00523816">
        <w:rPr>
          <w:i/>
          <w:iCs/>
          <w:lang w:val="en-GB"/>
        </w:rPr>
        <w:t>rarefy</w:t>
      </w:r>
      <w:r w:rsidR="00523816">
        <w:rPr>
          <w:i/>
          <w:iCs/>
          <w:lang w:val="en-GB"/>
        </w:rPr>
        <w:t xml:space="preserve"> </w:t>
      </w:r>
      <w:r w:rsidR="00523816">
        <w:rPr>
          <w:lang w:val="en-GB"/>
        </w:rPr>
        <w:t>function</w:t>
      </w:r>
      <w:r w:rsidR="001F7DD1">
        <w:rPr>
          <w:lang w:val="en-GB"/>
        </w:rPr>
        <w:t xml:space="preserve"> from</w:t>
      </w:r>
      <w:r w:rsidR="00523816">
        <w:rPr>
          <w:lang w:val="en-GB"/>
        </w:rPr>
        <w:t xml:space="preserve"> </w:t>
      </w:r>
      <w:r w:rsidR="001F7DD1">
        <w:rPr>
          <w:lang w:val="en-GB"/>
        </w:rPr>
        <w:t xml:space="preserve">the </w:t>
      </w:r>
      <w:r w:rsidR="00523816" w:rsidRPr="00523816">
        <w:rPr>
          <w:i/>
          <w:iCs/>
          <w:lang w:val="en-GB"/>
        </w:rPr>
        <w:t>Vegan</w:t>
      </w:r>
      <w:r w:rsidR="00523816">
        <w:rPr>
          <w:i/>
          <w:iCs/>
          <w:lang w:val="en-GB"/>
        </w:rPr>
        <w:t xml:space="preserve"> </w:t>
      </w:r>
      <w:r w:rsidR="001F7DD1">
        <w:rPr>
          <w:lang w:val="en-GB"/>
        </w:rPr>
        <w:t xml:space="preserve">package </w:t>
      </w:r>
      <w:r w:rsidR="00523816">
        <w:rPr>
          <w:lang w:val="en-GB"/>
        </w:rPr>
        <w:t>(v2.5.7)</w:t>
      </w:r>
      <w:r w:rsidR="001F7DD1">
        <w:rPr>
          <w:lang w:val="en-GB"/>
        </w:rPr>
        <w:t xml:space="preserve"> in </w:t>
      </w:r>
      <w:r w:rsidR="001F7DD1" w:rsidRPr="001F7DD1">
        <w:rPr>
          <w:i/>
          <w:iCs/>
          <w:lang w:val="en-GB"/>
        </w:rPr>
        <w:t>R</w:t>
      </w:r>
      <w:r w:rsidR="001F7DD1">
        <w:rPr>
          <w:lang w:val="en-GB"/>
        </w:rPr>
        <w:t>.</w:t>
      </w:r>
      <w:r>
        <w:rPr>
          <w:lang w:val="en-GB"/>
        </w:rPr>
        <w:t xml:space="preserve"> Rarefaction analysis of Shannon index was performed using </w:t>
      </w:r>
      <w:r w:rsidR="00523816">
        <w:rPr>
          <w:lang w:val="en-GB"/>
        </w:rPr>
        <w:t xml:space="preserve">a custom </w:t>
      </w:r>
      <w:r w:rsidR="00523816" w:rsidRPr="00523816">
        <w:rPr>
          <w:i/>
          <w:iCs/>
          <w:lang w:val="en-GB"/>
        </w:rPr>
        <w:t>R</w:t>
      </w:r>
      <w:r w:rsidR="00523816">
        <w:rPr>
          <w:lang w:val="en-GB"/>
        </w:rPr>
        <w:t xml:space="preserve"> script</w:t>
      </w:r>
      <w:r>
        <w:rPr>
          <w:lang w:val="en-GB"/>
        </w:rPr>
        <w:t xml:space="preserve"> and the </w:t>
      </w:r>
      <w:r w:rsidRPr="00822C37">
        <w:rPr>
          <w:i/>
          <w:iCs/>
          <w:lang w:val="en-GB"/>
        </w:rPr>
        <w:t>diversity</w:t>
      </w:r>
      <w:r>
        <w:rPr>
          <w:lang w:val="en-GB"/>
        </w:rPr>
        <w:t xml:space="preserve"> function from the same package.</w:t>
      </w:r>
      <w:r w:rsidR="00523816">
        <w:rPr>
          <w:lang w:val="en-GB"/>
        </w:rPr>
        <w:t xml:space="preserve"> </w:t>
      </w:r>
    </w:p>
    <w:p w14:paraId="4B9F12EE" w14:textId="4F569562" w:rsidR="009A1D09" w:rsidRDefault="009A1D09" w:rsidP="00E1731F">
      <w:pPr>
        <w:pStyle w:val="Heading2"/>
        <w:rPr>
          <w:lang w:val="en-GB"/>
        </w:rPr>
      </w:pPr>
      <w:r>
        <w:rPr>
          <w:lang w:val="en-GB"/>
        </w:rPr>
        <w:t>Ordination and clustering</w:t>
      </w:r>
    </w:p>
    <w:p w14:paraId="47AD9E87" w14:textId="48527A54" w:rsidR="00F23970" w:rsidRPr="007D1673" w:rsidRDefault="00F23970" w:rsidP="00590FC9">
      <w:pPr>
        <w:rPr>
          <w:u w:val="single"/>
          <w:lang w:val="en-GB"/>
        </w:rPr>
      </w:pPr>
      <w:r>
        <w:rPr>
          <w:lang w:val="en-GB"/>
        </w:rPr>
        <w:t xml:space="preserve">The Bray-Curtis distance matrix was </w:t>
      </w:r>
      <w:r w:rsidR="00952BAE">
        <w:rPr>
          <w:lang w:val="en-GB"/>
        </w:rPr>
        <w:t xml:space="preserve">computed from the relative abundance matrix using the </w:t>
      </w:r>
      <w:r w:rsidR="00952BAE" w:rsidRPr="00952BAE">
        <w:rPr>
          <w:i/>
          <w:iCs/>
          <w:lang w:val="en-GB"/>
        </w:rPr>
        <w:t>vegdist</w:t>
      </w:r>
      <w:r w:rsidR="00952BAE">
        <w:rPr>
          <w:lang w:val="en-GB"/>
        </w:rPr>
        <w:t xml:space="preserve"> function </w:t>
      </w:r>
      <w:r w:rsidR="00952BAE" w:rsidRPr="00952BAE">
        <w:rPr>
          <w:lang w:val="en-GB"/>
        </w:rPr>
        <w:t>in</w:t>
      </w:r>
      <w:r w:rsidR="00952BAE">
        <w:rPr>
          <w:i/>
          <w:iCs/>
          <w:lang w:val="en-GB"/>
        </w:rPr>
        <w:t xml:space="preserve"> </w:t>
      </w:r>
      <w:r w:rsidR="00952BAE" w:rsidRPr="00952BAE">
        <w:rPr>
          <w:i/>
          <w:iCs/>
          <w:lang w:val="en-GB"/>
        </w:rPr>
        <w:t>Vegan</w:t>
      </w:r>
      <w:r w:rsidR="00952BAE" w:rsidRPr="00952BAE">
        <w:rPr>
          <w:lang w:val="en-GB"/>
        </w:rPr>
        <w:t xml:space="preserve">. </w:t>
      </w:r>
      <w:r w:rsidR="00952BAE">
        <w:rPr>
          <w:lang w:val="en-GB"/>
        </w:rPr>
        <w:t>PCoA</w:t>
      </w:r>
      <w:r w:rsidR="00F66E1E">
        <w:rPr>
          <w:lang w:val="en-GB"/>
        </w:rPr>
        <w:t xml:space="preserve">, </w:t>
      </w:r>
      <w:r w:rsidR="00952BAE" w:rsidRPr="00952BAE">
        <w:rPr>
          <w:i/>
          <w:iCs/>
          <w:lang w:val="en-GB"/>
        </w:rPr>
        <w:t>t</w:t>
      </w:r>
      <w:r w:rsidR="00952BAE">
        <w:rPr>
          <w:lang w:val="en-GB"/>
        </w:rPr>
        <w:t xml:space="preserve">-SNE </w:t>
      </w:r>
      <w:r w:rsidR="00F66E1E">
        <w:rPr>
          <w:lang w:val="en-GB"/>
        </w:rPr>
        <w:t xml:space="preserve">and </w:t>
      </w:r>
      <w:r w:rsidR="00F66E1E" w:rsidRPr="00F66E1E">
        <w:rPr>
          <w:i/>
          <w:iCs/>
          <w:lang w:val="en-GB"/>
        </w:rPr>
        <w:t>k</w:t>
      </w:r>
      <w:r w:rsidR="00F66E1E">
        <w:rPr>
          <w:lang w:val="en-GB"/>
        </w:rPr>
        <w:t xml:space="preserve">-means </w:t>
      </w:r>
      <w:r w:rsidR="00952BAE">
        <w:rPr>
          <w:lang w:val="en-GB"/>
        </w:rPr>
        <w:t xml:space="preserve">was computed using the </w:t>
      </w:r>
      <w:r w:rsidR="00952BAE" w:rsidRPr="00952BAE">
        <w:rPr>
          <w:i/>
          <w:iCs/>
          <w:lang w:val="en-GB"/>
        </w:rPr>
        <w:t>pcoa</w:t>
      </w:r>
      <w:r w:rsidR="00F66E1E">
        <w:rPr>
          <w:lang w:val="en-GB"/>
        </w:rPr>
        <w:t xml:space="preserve">, </w:t>
      </w:r>
      <w:r w:rsidR="00952BAE">
        <w:rPr>
          <w:i/>
          <w:iCs/>
          <w:lang w:val="en-GB"/>
        </w:rPr>
        <w:t>R</w:t>
      </w:r>
      <w:r w:rsidR="00952BAE" w:rsidRPr="00952BAE">
        <w:rPr>
          <w:i/>
          <w:iCs/>
          <w:lang w:val="en-GB"/>
        </w:rPr>
        <w:t>tsne</w:t>
      </w:r>
      <w:r w:rsidR="00F66E1E">
        <w:rPr>
          <w:i/>
          <w:iCs/>
          <w:lang w:val="en-GB"/>
        </w:rPr>
        <w:t xml:space="preserve"> </w:t>
      </w:r>
      <w:r w:rsidR="00F66E1E">
        <w:rPr>
          <w:lang w:val="en-GB"/>
        </w:rPr>
        <w:t xml:space="preserve">and </w:t>
      </w:r>
      <w:r w:rsidR="00F66E1E">
        <w:rPr>
          <w:i/>
          <w:iCs/>
          <w:lang w:val="en-GB"/>
        </w:rPr>
        <w:t>kmeans</w:t>
      </w:r>
      <w:r w:rsidR="00952BAE">
        <w:rPr>
          <w:lang w:val="en-GB"/>
        </w:rPr>
        <w:t xml:space="preserve"> functions in the </w:t>
      </w:r>
      <w:r w:rsidR="00952BAE" w:rsidRPr="00952BAE">
        <w:rPr>
          <w:i/>
          <w:iCs/>
          <w:lang w:val="en-GB"/>
        </w:rPr>
        <w:t>ape</w:t>
      </w:r>
      <w:r w:rsidR="00952BAE">
        <w:rPr>
          <w:lang w:val="en-GB"/>
        </w:rPr>
        <w:t xml:space="preserve"> (v5.4.1) </w:t>
      </w:r>
      <w:r w:rsidR="00952BAE">
        <w:rPr>
          <w:lang w:val="en-GB"/>
        </w:rPr>
        <w:fldChar w:fldCharType="begin" w:fldLock="1"/>
      </w:r>
      <w:r w:rsidR="00952BAE">
        <w:rPr>
          <w:lang w:val="en-GB"/>
        </w:rPr>
        <w:instrText>ADDIN CSL_CITATION {"citationItems":[{"id":"ITEM-1","itemData":{"ISSN":"1367-4803","author":[{"dropping-particle":"","family":"Paradis","given":"Emmanuel","non-dropping-particle":"","parse-names":false,"suffix":""},{"dropping-particle":"","family":"Schliep","given":"Klaus","non-dropping-particle":"","parse-names":false,"suffix":""}],"container-title":"Bioinformatics","id":"ITEM-1","issue":"3","issued":{"date-parts":[["2019"]]},"page":"526-528","publisher":"Oxford University Press","title":"ape 5.0: an environment for modern phylogenetics and evolutionary analyses in R","type":"article-journal","volume":"35"},"uris":["http://www.mendeley.com/documents/?uuid=a32b1693-d03b-4579-8a04-9beb5e94f9cc"]}],"mendeley":{"formattedCitation":"(Paradis and Schliep, 2019)","plainTextFormattedCitation":"(Paradis and Schliep, 2019)","previouslyFormattedCitation":"(Paradis and Schliep, 2019)"},"properties":{"noteIndex":0},"schema":"https://github.com/citation-style-language/schema/raw/master/csl-citation.json"}</w:instrText>
      </w:r>
      <w:r w:rsidR="00952BAE">
        <w:rPr>
          <w:lang w:val="en-GB"/>
        </w:rPr>
        <w:fldChar w:fldCharType="separate"/>
      </w:r>
      <w:r w:rsidR="00952BAE" w:rsidRPr="00952BAE">
        <w:rPr>
          <w:noProof/>
          <w:lang w:val="en-GB"/>
        </w:rPr>
        <w:t>(Paradis and Schliep, 2019)</w:t>
      </w:r>
      <w:r w:rsidR="00952BAE">
        <w:rPr>
          <w:lang w:val="en-GB"/>
        </w:rPr>
        <w:fldChar w:fldCharType="end"/>
      </w:r>
      <w:r w:rsidR="00F66E1E">
        <w:rPr>
          <w:lang w:val="en-GB"/>
        </w:rPr>
        <w:t xml:space="preserve">, </w:t>
      </w:r>
      <w:r w:rsidR="00952BAE" w:rsidRPr="00952BAE">
        <w:rPr>
          <w:i/>
          <w:iCs/>
          <w:lang w:val="en-GB"/>
        </w:rPr>
        <w:t>Rtsne</w:t>
      </w:r>
      <w:r w:rsidR="00952BAE">
        <w:rPr>
          <w:i/>
          <w:iCs/>
          <w:lang w:val="en-GB"/>
        </w:rPr>
        <w:t xml:space="preserve"> </w:t>
      </w:r>
      <w:r w:rsidR="00952BAE">
        <w:rPr>
          <w:lang w:val="en-GB"/>
        </w:rPr>
        <w:t xml:space="preserve">(v0.15) </w:t>
      </w:r>
      <w:r w:rsidR="00952BAE">
        <w:rPr>
          <w:lang w:val="en-GB"/>
        </w:rPr>
        <w:fldChar w:fldCharType="begin" w:fldLock="1"/>
      </w:r>
      <w:r w:rsidR="00772E14">
        <w:rPr>
          <w:lang w:val="en-GB"/>
        </w:rPr>
        <w:instrText>ADDIN CSL_CITATION {"citationItems":[{"id":"ITEM-1","itemData":{"author":[{"dropping-particle":"","family":"Krijthe","given":"Jesse","non-dropping-particle":"","parse-names":false,"suffix":""},{"dropping-particle":"","family":"Maaten","given":"Laurens","non-dropping-particle":"van der","parse-names":false,"suffix":""},{"dropping-particle":"","family":"Krijthe","given":"Maintainer Jesse","non-dropping-particle":"","parse-names":false,"suffix":""}],"id":"ITEM-1","issued":{"date-parts":[["2018"]]},"publisher":"GitHub","title":"Package ‘Rtsne’","type":"article"},"uris":["http://www.mendeley.com/documents/?uuid=f4f1937d-6f0d-4682-9f78-a3c898619dec"]}],"mendeley":{"formattedCitation":"(Krijthe, van der Maaten and Krijthe, 2018)","plainTextFormattedCitation":"(Krijthe, van der Maaten and Krijthe, 2018)","previouslyFormattedCitation":"(Krijthe, van der Maaten and Krijthe, 2018)"},"properties":{"noteIndex":0},"schema":"https://github.com/citation-style-language/schema/raw/master/csl-citation.json"}</w:instrText>
      </w:r>
      <w:r w:rsidR="00952BAE">
        <w:rPr>
          <w:lang w:val="en-GB"/>
        </w:rPr>
        <w:fldChar w:fldCharType="separate"/>
      </w:r>
      <w:r w:rsidR="00952BAE" w:rsidRPr="00952BAE">
        <w:rPr>
          <w:noProof/>
          <w:lang w:val="en-GB"/>
        </w:rPr>
        <w:t>(Krijthe, van der Maaten and Krijthe, 2018)</w:t>
      </w:r>
      <w:r w:rsidR="00952BAE">
        <w:rPr>
          <w:lang w:val="en-GB"/>
        </w:rPr>
        <w:fldChar w:fldCharType="end"/>
      </w:r>
      <w:r w:rsidR="00F66E1E">
        <w:rPr>
          <w:lang w:val="en-GB"/>
        </w:rPr>
        <w:t xml:space="preserve"> and </w:t>
      </w:r>
      <w:r w:rsidR="00F66E1E" w:rsidRPr="00F66E1E">
        <w:rPr>
          <w:i/>
          <w:iCs/>
          <w:lang w:val="en-GB"/>
        </w:rPr>
        <w:t>stats</w:t>
      </w:r>
      <w:r w:rsidR="00F66E1E">
        <w:rPr>
          <w:lang w:val="en-GB"/>
        </w:rPr>
        <w:t xml:space="preserve"> (v3.6.0)</w:t>
      </w:r>
      <w:r w:rsidR="00952BAE">
        <w:rPr>
          <w:lang w:val="en-GB"/>
        </w:rPr>
        <w:t xml:space="preserve"> packages in </w:t>
      </w:r>
      <w:r w:rsidR="00952BAE" w:rsidRPr="00952BAE">
        <w:rPr>
          <w:i/>
          <w:iCs/>
          <w:lang w:val="en-GB"/>
        </w:rPr>
        <w:t>R</w:t>
      </w:r>
      <w:r w:rsidR="00952BAE">
        <w:rPr>
          <w:lang w:val="en-GB"/>
        </w:rPr>
        <w:t xml:space="preserve">, respectively. </w:t>
      </w:r>
      <w:r w:rsidR="002C2090">
        <w:rPr>
          <w:lang w:val="en-GB"/>
        </w:rPr>
        <w:t xml:space="preserve">The Barnes-Hut implementation of </w:t>
      </w:r>
      <w:r w:rsidR="00A8525E" w:rsidRPr="00A8525E">
        <w:rPr>
          <w:i/>
          <w:iCs/>
          <w:lang w:val="en-GB"/>
        </w:rPr>
        <w:t>t</w:t>
      </w:r>
      <w:r w:rsidR="00A8525E">
        <w:rPr>
          <w:lang w:val="en-GB"/>
        </w:rPr>
        <w:t>-SNE</w:t>
      </w:r>
      <w:r w:rsidR="002C2090">
        <w:rPr>
          <w:lang w:val="en-GB"/>
        </w:rPr>
        <w:t xml:space="preserve"> </w:t>
      </w:r>
      <w:r w:rsidR="00772E14">
        <w:rPr>
          <w:lang w:val="en-GB"/>
        </w:rPr>
        <w:fldChar w:fldCharType="begin" w:fldLock="1"/>
      </w:r>
      <w:r w:rsidR="00D44BA8">
        <w:rPr>
          <w:lang w:val="en-GB"/>
        </w:rPr>
        <w:instrText>ADDIN CSL_CITATION {"citationItems":[{"id":"ITEM-1","itemData":{"ISSN":"1532-4435","author":[{"dropping-particle":"","family":"Maaten","given":"Laurens","non-dropping-particle":"Van Der","parse-names":false,"suffix":""}],"container-title":"The Journal of Machine Learning Research","id":"ITEM-1","issue":"1","issued":{"date-parts":[["2014"]]},"page":"3221-3245","publisher":"JMLR. org","title":"Accelerating t-SNE using tree-based algorithms","type":"article-journal","volume":"15"},"uris":["http://www.mendeley.com/documents/?uuid=1a2370bb-6913-48a2-8d50-1b3905c1b229"]}],"mendeley":{"formattedCitation":"(Van Der Maaten, 2014)","plainTextFormattedCitation":"(Van Der Maaten, 2014)","previouslyFormattedCitation":"(Van Der Maaten, 2014)"},"properties":{"noteIndex":0},"schema":"https://github.com/citation-style-language/schema/raw/master/csl-citation.json"}</w:instrText>
      </w:r>
      <w:r w:rsidR="00772E14">
        <w:rPr>
          <w:lang w:val="en-GB"/>
        </w:rPr>
        <w:fldChar w:fldCharType="separate"/>
      </w:r>
      <w:r w:rsidR="00772E14" w:rsidRPr="00772E14">
        <w:rPr>
          <w:noProof/>
          <w:lang w:val="en-GB"/>
        </w:rPr>
        <w:t>(Van Der Maaten, 2014)</w:t>
      </w:r>
      <w:r w:rsidR="00772E14">
        <w:rPr>
          <w:lang w:val="en-GB"/>
        </w:rPr>
        <w:fldChar w:fldCharType="end"/>
      </w:r>
      <w:r w:rsidR="0055764D">
        <w:rPr>
          <w:lang w:val="en-GB"/>
        </w:rPr>
        <w:t xml:space="preserve"> </w:t>
      </w:r>
      <w:r w:rsidR="002C2090">
        <w:rPr>
          <w:lang w:val="en-GB"/>
        </w:rPr>
        <w:t>was used with the perplexity parameter set to two.</w:t>
      </w:r>
      <w:r w:rsidR="0055764D">
        <w:rPr>
          <w:lang w:val="en-GB"/>
        </w:rPr>
        <w:t xml:space="preserve"> </w:t>
      </w:r>
      <w:r w:rsidR="007D1673">
        <w:rPr>
          <w:lang w:val="en-GB"/>
        </w:rPr>
        <w:t xml:space="preserve">The ‘centers’ and ‘nstart’ parameters in </w:t>
      </w:r>
      <w:r w:rsidR="007D1673" w:rsidRPr="007D1673">
        <w:rPr>
          <w:i/>
          <w:iCs/>
          <w:lang w:val="en-GB"/>
        </w:rPr>
        <w:t>kmeans</w:t>
      </w:r>
      <w:r w:rsidR="007D1673">
        <w:rPr>
          <w:lang w:val="en-GB"/>
        </w:rPr>
        <w:t xml:space="preserve"> was set to three and 25 respectively. </w:t>
      </w:r>
    </w:p>
    <w:p w14:paraId="67265928" w14:textId="3E714DCE" w:rsidR="009A1D09" w:rsidRDefault="009A1D09" w:rsidP="009A1D09">
      <w:pPr>
        <w:pStyle w:val="Heading2"/>
        <w:rPr>
          <w:lang w:val="en-GB"/>
        </w:rPr>
      </w:pPr>
      <w:r>
        <w:rPr>
          <w:lang w:val="en-GB"/>
        </w:rPr>
        <w:t>Relative differential abundance</w:t>
      </w:r>
    </w:p>
    <w:p w14:paraId="37F77C0A" w14:textId="73D18AA1" w:rsidR="00D44BA8" w:rsidRPr="00F127A7" w:rsidRDefault="00F127A7" w:rsidP="008B4C8C">
      <w:pPr>
        <w:rPr>
          <w:lang w:val="en-GB"/>
        </w:rPr>
      </w:pPr>
      <w:r>
        <w:rPr>
          <w:lang w:val="en-GB"/>
        </w:rPr>
        <w:t xml:space="preserve">As suggested previously </w:t>
      </w:r>
      <w:r>
        <w:rPr>
          <w:lang w:val="en-GB"/>
        </w:rPr>
        <w:fldChar w:fldCharType="begin" w:fldLock="1"/>
      </w:r>
      <w:r>
        <w:rPr>
          <w:lang w:val="en-GB"/>
        </w:rPr>
        <w:instrText>ADDIN CSL_CITATION {"citationItems":[{"id":"ITEM-1","itemData":{"DOI":"10.1038/s41467-019-10656-5","ISSN":"2041-1723","abstract":"Differential abundance analysis is controversial throughout microbiome research. Gold standard approaches require laborious measurements of total microbial load, or absolute number of microorganisms, to accurately determine taxonomic shifts. Therefore, most studies rely on relative abundance data. Here, we demonstrate common pitfalls in comparing relative abundance across samples and identify two solutions that reveal microbial changes without the need to estimate total microbial load. We define the notion of “reference frames”, which provide deep intuition about the compositional nature of microbiome data. In an oral time series experiment, reference frames alleviate false positives and produce consistent results on both raw and cell-count normalized data. Furthermore, reference frames identify consistent, differentially abundant microbes previously undetected in two independent published datasets from subjects with atopic dermatitis. These methods allow reassessment of published relative abundance data to reveal reproducible microbial changes from standard sequencing output without the need for new assays.","author":[{"dropping-particle":"","family":"Morton","given":"James T","non-dropping-particle":"","parse-names":false,"suffix":""},{"dropping-particle":"","family":"Marotz","given":"Clarisse","non-dropping-particle":"","parse-names":false,"suffix":""},{"dropping-particle":"","family":"Washburne","given":"Alex","non-dropping-particle":"","parse-names":false,"suffix":""},{"dropping-particle":"","family":"Silverman","given":"Justin","non-dropping-particle":"","parse-names":false,"suffix":""},{"dropping-particle":"","family":"Zaramela","given":"Livia S","non-dropping-particle":"","parse-names":false,"suffix":""},{"dropping-particle":"","family":"Edlund","given":"Anna","non-dropping-particle":"","parse-names":false,"suffix":""},{"dropping-particle":"","family":"Zengler","given":"Karsten","non-dropping-particle":"","parse-names":false,"suffix":""},{"dropping-particle":"","family":"Knight","given":"Rob","non-dropping-particle":"","parse-names":false,"suffix":""}],"container-title":"Nature Communications","id":"ITEM-1","issue":"1","issued":{"date-parts":[["2019"]]},"page":"2719","title":"Establishing microbial composition measurement standards with reference frames","type":"article-journal","volume":"10"},"uris":["http://www.mendeley.com/documents/?uuid=42d4c6c5-1d5e-40d1-bda6-a751c2c26faf"]}],"mendeley":{"formattedCitation":"(Morton &lt;i&gt;et al.&lt;/i&gt;, 2019)","plainTextFormattedCitation":"(Morton et al., 2019)","previouslyFormattedCitation":"(Morton &lt;i&gt;et al.&lt;/i&gt;, 2019)"},"properties":{"noteIndex":0},"schema":"https://github.com/citation-style-language/schema/raw/master/csl-citation.json"}</w:instrText>
      </w:r>
      <w:r>
        <w:rPr>
          <w:lang w:val="en-GB"/>
        </w:rPr>
        <w:fldChar w:fldCharType="separate"/>
      </w:r>
      <w:r w:rsidRPr="00D44BA8">
        <w:rPr>
          <w:noProof/>
          <w:lang w:val="en-GB"/>
        </w:rPr>
        <w:t xml:space="preserve">(Morton </w:t>
      </w:r>
      <w:r w:rsidRPr="00D44BA8">
        <w:rPr>
          <w:i/>
          <w:noProof/>
          <w:lang w:val="en-GB"/>
        </w:rPr>
        <w:t>et al.</w:t>
      </w:r>
      <w:r w:rsidRPr="00D44BA8">
        <w:rPr>
          <w:noProof/>
          <w:lang w:val="en-GB"/>
        </w:rPr>
        <w:t>, 2019)</w:t>
      </w:r>
      <w:r>
        <w:rPr>
          <w:lang w:val="en-GB"/>
        </w:rPr>
        <w:fldChar w:fldCharType="end"/>
      </w:r>
      <w:r>
        <w:rPr>
          <w:lang w:val="en-GB"/>
        </w:rPr>
        <w:t xml:space="preserve">, </w:t>
      </w:r>
      <w:r w:rsidR="008935E4">
        <w:rPr>
          <w:lang w:val="en-GB"/>
        </w:rPr>
        <w:t>RDA was co</w:t>
      </w:r>
      <w:r w:rsidR="00D44BA8">
        <w:rPr>
          <w:lang w:val="en-GB"/>
        </w:rPr>
        <w:t xml:space="preserve">mputed using the equation, </w:t>
      </w:r>
      <m:oMath>
        <m:r>
          <w:rPr>
            <w:rFonts w:ascii="Cambria Math" w:hAnsi="Cambria Math"/>
            <w:lang w:val="en-GB"/>
          </w:rPr>
          <m:t>RDA=</m:t>
        </m:r>
        <m:r>
          <m:rPr>
            <m:sty m:val="p"/>
          </m:rPr>
          <w:rPr>
            <w:rFonts w:ascii="Cambria Math" w:hAnsi="Cambria Math"/>
            <w:lang w:val="en-GB"/>
          </w:rPr>
          <m:t>ln</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target</m:t>
                </m:r>
              </m:sub>
            </m:sSub>
          </m:num>
          <m:den>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reference</m:t>
                </m:r>
              </m:sub>
            </m:sSub>
          </m:den>
        </m:f>
        <m:r>
          <w:rPr>
            <w:rFonts w:ascii="Cambria Math" w:hAnsi="Cambria Math"/>
            <w:lang w:val="en-GB"/>
          </w:rPr>
          <m:t>)</m:t>
        </m:r>
      </m:oMath>
      <w:r w:rsidR="00D44BA8">
        <w:rPr>
          <w:lang w:val="en-GB"/>
        </w:rPr>
        <w:t xml:space="preserve">, where </w:t>
      </w:r>
      <w:r w:rsidR="00D44BA8" w:rsidRPr="00D44BA8">
        <w:rPr>
          <w:i/>
          <w:iCs/>
          <w:lang w:val="en-GB"/>
        </w:rPr>
        <w:t>x</w:t>
      </w:r>
      <w:r w:rsidR="00D44BA8" w:rsidRPr="00D44BA8">
        <w:rPr>
          <w:i/>
          <w:iCs/>
          <w:vertAlign w:val="subscript"/>
          <w:lang w:val="en-GB"/>
        </w:rPr>
        <w:t>target</w:t>
      </w:r>
      <w:r w:rsidR="00D44BA8">
        <w:rPr>
          <w:vertAlign w:val="subscript"/>
          <w:lang w:val="en-GB"/>
        </w:rPr>
        <w:t xml:space="preserve"> </w:t>
      </w:r>
      <w:r w:rsidR="00D44BA8">
        <w:rPr>
          <w:lang w:val="en-GB"/>
        </w:rPr>
        <w:t xml:space="preserve">and </w:t>
      </w:r>
      <w:r w:rsidR="00D44BA8" w:rsidRPr="00D44BA8">
        <w:rPr>
          <w:i/>
          <w:iCs/>
          <w:lang w:val="en-GB"/>
        </w:rPr>
        <w:t>x</w:t>
      </w:r>
      <w:r w:rsidR="00D44BA8">
        <w:rPr>
          <w:i/>
          <w:iCs/>
          <w:vertAlign w:val="subscript"/>
          <w:lang w:val="en-GB"/>
        </w:rPr>
        <w:t>reference</w:t>
      </w:r>
      <w:r w:rsidR="00D44BA8">
        <w:rPr>
          <w:lang w:val="en-GB"/>
        </w:rPr>
        <w:t xml:space="preserve"> is the relative abundance of the genus in question and the reference genus</w:t>
      </w:r>
      <w:r w:rsidR="00E96EF0">
        <w:rPr>
          <w:lang w:val="en-GB"/>
        </w:rPr>
        <w:t>, respectively</w:t>
      </w:r>
      <w:r>
        <w:rPr>
          <w:lang w:val="en-GB"/>
        </w:rPr>
        <w:t xml:space="preserve">. </w:t>
      </w:r>
      <w:r w:rsidR="008B4C8C" w:rsidRPr="00F127A7">
        <w:rPr>
          <w:i/>
          <w:iCs/>
          <w:lang w:val="en-GB"/>
        </w:rPr>
        <w:t>Bradyrhizobium</w:t>
      </w:r>
      <w:r>
        <w:rPr>
          <w:i/>
          <w:iCs/>
          <w:lang w:val="en-GB"/>
        </w:rPr>
        <w:t xml:space="preserve"> </w:t>
      </w:r>
      <w:r>
        <w:rPr>
          <w:lang w:val="en-GB"/>
        </w:rPr>
        <w:t xml:space="preserve">was selected as the reference genus since it is the </w:t>
      </w:r>
      <w:r>
        <w:rPr>
          <w:lang w:val="en-GB"/>
        </w:rPr>
        <w:lastRenderedPageBreak/>
        <w:t xml:space="preserve">most common sequencing contaminant in metagenomic sequencing studies </w:t>
      </w:r>
      <w:r>
        <w:rPr>
          <w:lang w:val="en-GB"/>
        </w:rPr>
        <w:fldChar w:fldCharType="begin" w:fldLock="1"/>
      </w:r>
      <w:r w:rsidR="00937B83">
        <w:rPr>
          <w:lang w:val="en-GB"/>
        </w:rPr>
        <w:instrText>ADDIN CSL_CITATION {"citationItems":[{"id":"ITEM-1","itemData":{"ISSN":"1932-6203","author":[{"dropping-particle":"","family":"Laurence","given":"Martin","non-dropping-particle":"","parse-names":false,"suffix":""},{"dropping-particle":"","family":"Hatzis","given":"Christos","non-dropping-particle":"","parse-names":false,"suffix":""},{"dropping-particle":"","family":"Brash","given":"Douglas E","non-dropping-particle":"","parse-names":false,"suffix":""}],"container-title":"PloS one","id":"ITEM-1","issue":"5","issued":{"date-parts":[["2014"]]},"page":"e97876","publisher":"Public Library of Science","title":"Common contaminants in next-generation sequencing that hinder discovery of low-abundance microbes","type":"article-journal","volume":"9"},"uris":["http://www.mendeley.com/documents/?uuid=d1eaf6de-a86b-4f3e-a1d4-c5207cf54437"]}],"mendeley":{"formattedCitation":"(Laurence, Hatzis and Brash, 2014)","plainTextFormattedCitation":"(Laurence, Hatzis and Brash, 2014)","previouslyFormattedCitation":"(Laurence, Hatzis and Brash, 2014)"},"properties":{"noteIndex":0},"schema":"https://github.com/citation-style-language/schema/raw/master/csl-citation.json"}</w:instrText>
      </w:r>
      <w:r>
        <w:rPr>
          <w:lang w:val="en-GB"/>
        </w:rPr>
        <w:fldChar w:fldCharType="separate"/>
      </w:r>
      <w:r w:rsidRPr="00F127A7">
        <w:rPr>
          <w:noProof/>
          <w:lang w:val="en-GB"/>
        </w:rPr>
        <w:t>(Laurence, Hatzis and Brash, 2014)</w:t>
      </w:r>
      <w:r>
        <w:rPr>
          <w:lang w:val="en-GB"/>
        </w:rPr>
        <w:fldChar w:fldCharType="end"/>
      </w:r>
      <w:r>
        <w:rPr>
          <w:lang w:val="en-GB"/>
        </w:rPr>
        <w:t xml:space="preserve"> and therefore not likely to be part of the blood microbiome.</w:t>
      </w:r>
      <w:r w:rsidR="004F043E">
        <w:rPr>
          <w:lang w:val="en-GB"/>
        </w:rPr>
        <w:t xml:space="preserve"> This is important because the RDA of a reference taxon always equals one</w:t>
      </w:r>
      <w:r w:rsidR="00A70FA2">
        <w:rPr>
          <w:lang w:val="en-GB"/>
        </w:rPr>
        <w:t xml:space="preserve"> and </w:t>
      </w:r>
      <w:r w:rsidR="000652E6">
        <w:rPr>
          <w:lang w:val="en-GB"/>
        </w:rPr>
        <w:t xml:space="preserve">therefore </w:t>
      </w:r>
      <w:r w:rsidR="00A70FA2">
        <w:rPr>
          <w:lang w:val="en-GB"/>
        </w:rPr>
        <w:t>cannot be interpreted meaningfully.</w:t>
      </w:r>
    </w:p>
    <w:p w14:paraId="6610C566" w14:textId="77777777" w:rsidR="004E4E03" w:rsidRDefault="004E4E03" w:rsidP="004E4E03">
      <w:pPr>
        <w:pStyle w:val="Heading1"/>
      </w:pPr>
      <w:r>
        <w:t>Data and code availability</w:t>
      </w:r>
    </w:p>
    <w:p w14:paraId="331713DC" w14:textId="0AE5660A" w:rsidR="00F6417A" w:rsidRPr="0057174B" w:rsidRDefault="00035E90" w:rsidP="00E86B9D">
      <w:pPr>
        <w:rPr>
          <w:lang w:val="en-GB"/>
        </w:rPr>
      </w:pPr>
      <w:r>
        <w:rPr>
          <w:lang w:val="en-GB"/>
        </w:rPr>
        <w:t xml:space="preserve">All analyses or data processing was performed in </w:t>
      </w:r>
      <w:r w:rsidRPr="00035E90">
        <w:rPr>
          <w:i/>
          <w:iCs/>
          <w:lang w:val="en-GB"/>
        </w:rPr>
        <w:t>R</w:t>
      </w:r>
      <w:r>
        <w:rPr>
          <w:lang w:val="en-GB"/>
        </w:rPr>
        <w:t xml:space="preserve"> v3.6.0 or </w:t>
      </w:r>
      <w:r w:rsidRPr="00035E90">
        <w:rPr>
          <w:i/>
          <w:iCs/>
          <w:lang w:val="en-GB"/>
        </w:rPr>
        <w:t>Python</w:t>
      </w:r>
      <w:r>
        <w:rPr>
          <w:lang w:val="en-GB"/>
        </w:rPr>
        <w:t xml:space="preserve"> v3.6.13</w:t>
      </w:r>
      <w:r w:rsidR="00165E5B">
        <w:rPr>
          <w:lang w:val="en-GB"/>
        </w:rPr>
        <w:t>. R</w:t>
      </w:r>
      <w:r w:rsidR="004E4E03">
        <w:rPr>
          <w:lang w:val="en-GB"/>
        </w:rPr>
        <w:t>elevant source code</w:t>
      </w:r>
      <w:r w:rsidR="00765E2C">
        <w:rPr>
          <w:lang w:val="en-GB"/>
        </w:rPr>
        <w:t xml:space="preserve"> is hosted on </w:t>
      </w:r>
      <w:r w:rsidR="004E4E03">
        <w:rPr>
          <w:lang w:val="en-GB"/>
        </w:rPr>
        <w:t>GitHub (</w:t>
      </w:r>
      <w:hyperlink r:id="rId13" w:history="1">
        <w:r w:rsidR="00765E2C" w:rsidRPr="00CE1E4D">
          <w:rPr>
            <w:rStyle w:val="Hyperlink"/>
            <w:rFonts w:cs="Times New Roman"/>
            <w:szCs w:val="28"/>
            <w:lang w:val="en-GB"/>
          </w:rPr>
          <w:t>https://github.com/cednotsed/BIOC0023_dissertation</w:t>
        </w:r>
      </w:hyperlink>
      <w:r w:rsidR="004E4E03">
        <w:rPr>
          <w:lang w:val="en-GB"/>
        </w:rPr>
        <w:t xml:space="preserve">). The raw sequence data for </w:t>
      </w:r>
      <w:r w:rsidR="009D4340">
        <w:rPr>
          <w:lang w:val="en-GB"/>
        </w:rPr>
        <w:t xml:space="preserve">this study was obtained from the study by </w:t>
      </w:r>
      <w:r w:rsidR="009D4340">
        <w:rPr>
          <w:lang w:val="en-GB"/>
        </w:rPr>
        <w:fldChar w:fldCharType="begin" w:fldLock="1"/>
      </w:r>
      <w:r w:rsidR="00E378C0">
        <w:rPr>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DNAemia","type":"article-journal","volume":"36"},"uris":["http://www.mendeley.com/documents/?uuid=62f9084b-96ca-44d1-89bc-b8a31e5ed56d"]}],"mendeley":{"formattedCitation":"(Gosiewski &lt;i&gt;et al.&lt;/i&gt;, 2017)","manualFormatting":"Gosiewski et al. (2017)","plainTextFormattedCitation":"(Gosiewski et al., 2017)","previouslyFormattedCitation":"(Gosiewski &lt;i&gt;et al.&lt;/i&gt;, 2017)"},"properties":{"noteIndex":0},"schema":"https://github.com/citation-style-language/schema/raw/master/csl-citation.json"}</w:instrText>
      </w:r>
      <w:r w:rsidR="009D4340">
        <w:rPr>
          <w:lang w:val="en-GB"/>
        </w:rPr>
        <w:fldChar w:fldCharType="separate"/>
      </w:r>
      <w:r w:rsidR="009D4340" w:rsidRPr="009D4340">
        <w:rPr>
          <w:noProof/>
          <w:lang w:val="en-GB"/>
        </w:rPr>
        <w:t xml:space="preserve">Gosiewski </w:t>
      </w:r>
      <w:r w:rsidR="009D4340" w:rsidRPr="009D4340">
        <w:rPr>
          <w:i/>
          <w:noProof/>
          <w:lang w:val="en-GB"/>
        </w:rPr>
        <w:t>et al.</w:t>
      </w:r>
      <w:r w:rsidR="009D4340" w:rsidRPr="009D4340">
        <w:rPr>
          <w:noProof/>
          <w:lang w:val="en-GB"/>
        </w:rPr>
        <w:t xml:space="preserve"> </w:t>
      </w:r>
      <w:r w:rsidR="009D4340">
        <w:rPr>
          <w:noProof/>
          <w:lang w:val="en-GB"/>
        </w:rPr>
        <w:t>(</w:t>
      </w:r>
      <w:r w:rsidR="009D4340" w:rsidRPr="009D4340">
        <w:rPr>
          <w:noProof/>
          <w:lang w:val="en-GB"/>
        </w:rPr>
        <w:t>2017)</w:t>
      </w:r>
      <w:r w:rsidR="009D4340">
        <w:rPr>
          <w:lang w:val="en-GB"/>
        </w:rPr>
        <w:fldChar w:fldCharType="end"/>
      </w:r>
      <w:r w:rsidR="009D4340">
        <w:rPr>
          <w:lang w:val="en-GB"/>
        </w:rPr>
        <w:t>.</w:t>
      </w:r>
    </w:p>
    <w:p w14:paraId="5F86456E" w14:textId="77777777" w:rsidR="006C7246" w:rsidRDefault="006C7246">
      <w:pPr>
        <w:spacing w:line="259" w:lineRule="auto"/>
        <w:jc w:val="left"/>
        <w:rPr>
          <w:rFonts w:eastAsiaTheme="majorEastAsia" w:cstheme="majorBidi"/>
          <w:b/>
          <w:color w:val="0070C0"/>
          <w:sz w:val="32"/>
          <w:szCs w:val="32"/>
          <w:lang w:val="en-GB"/>
        </w:rPr>
      </w:pPr>
      <w:r>
        <w:rPr>
          <w:lang w:val="en-GB"/>
        </w:rPr>
        <w:br w:type="page"/>
      </w:r>
    </w:p>
    <w:p w14:paraId="109F6A16" w14:textId="3592E5CA" w:rsidR="00437B36" w:rsidRPr="00437B36" w:rsidRDefault="00BC2AC9" w:rsidP="00437B36">
      <w:pPr>
        <w:pStyle w:val="Heading1"/>
        <w:spacing w:line="240" w:lineRule="auto"/>
        <w:rPr>
          <w:lang w:val="en-GB"/>
        </w:rPr>
      </w:pPr>
      <w:r>
        <w:rPr>
          <w:lang w:val="en-GB"/>
        </w:rPr>
        <w:lastRenderedPageBreak/>
        <w:t>R</w:t>
      </w:r>
      <w:bookmarkStart w:id="1" w:name="__Fieldmark__578_3520335750"/>
      <w:bookmarkStart w:id="2" w:name="__Fieldmark__781_3581134862"/>
      <w:bookmarkEnd w:id="1"/>
      <w:bookmarkEnd w:id="2"/>
      <w:r>
        <w:rPr>
          <w:lang w:val="en-GB"/>
        </w:rPr>
        <w:t>eferences</w:t>
      </w:r>
      <w:r w:rsidR="00437B36">
        <w:rPr>
          <w:lang w:val="en-GB"/>
        </w:rPr>
        <w:br/>
      </w:r>
    </w:p>
    <w:p w14:paraId="17F45DC6" w14:textId="4CC8568D" w:rsidR="00766EF5" w:rsidRPr="00766EF5" w:rsidRDefault="00BC2AC9" w:rsidP="00766EF5">
      <w:pPr>
        <w:widowControl w:val="0"/>
        <w:autoSpaceDE w:val="0"/>
        <w:autoSpaceDN w:val="0"/>
        <w:adjustRightInd w:val="0"/>
        <w:rPr>
          <w:rFonts w:cs="Times New Roman"/>
          <w:noProof/>
          <w:szCs w:val="24"/>
        </w:rPr>
      </w:pPr>
      <w:r>
        <w:fldChar w:fldCharType="begin" w:fldLock="1"/>
      </w:r>
      <w:r>
        <w:instrText xml:space="preserve">ADDIN Mendeley Bibliography CSL_BIBLIOGRAPHY </w:instrText>
      </w:r>
      <w:r>
        <w:fldChar w:fldCharType="separate"/>
      </w:r>
      <w:r w:rsidR="00766EF5" w:rsidRPr="00766EF5">
        <w:rPr>
          <w:rFonts w:cs="Times New Roman"/>
          <w:noProof/>
          <w:szCs w:val="24"/>
        </w:rPr>
        <w:t xml:space="preserve">Abe, K. </w:t>
      </w:r>
      <w:r w:rsidR="00766EF5" w:rsidRPr="00766EF5">
        <w:rPr>
          <w:rFonts w:cs="Times New Roman"/>
          <w:i/>
          <w:iCs/>
          <w:noProof/>
          <w:szCs w:val="24"/>
        </w:rPr>
        <w:t>et al.</w:t>
      </w:r>
      <w:r w:rsidR="00766EF5" w:rsidRPr="00766EF5">
        <w:rPr>
          <w:rFonts w:cs="Times New Roman"/>
          <w:noProof/>
          <w:szCs w:val="24"/>
        </w:rPr>
        <w:t xml:space="preserve"> (1999) ‘TT virus infection is widespread in the general populations from different geographic regions’, </w:t>
      </w:r>
      <w:r w:rsidR="00766EF5" w:rsidRPr="00766EF5">
        <w:rPr>
          <w:rFonts w:cs="Times New Roman"/>
          <w:i/>
          <w:iCs/>
          <w:noProof/>
          <w:szCs w:val="24"/>
        </w:rPr>
        <w:t>Journal of clinical microbiology</w:t>
      </w:r>
      <w:r w:rsidR="00766EF5" w:rsidRPr="00766EF5">
        <w:rPr>
          <w:rFonts w:cs="Times New Roman"/>
          <w:noProof/>
          <w:szCs w:val="24"/>
        </w:rPr>
        <w:t>. Am Soc Microbiol, 37(8), pp. 2703–2705.</w:t>
      </w:r>
    </w:p>
    <w:p w14:paraId="14BE2C4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Andrews, S. (2010) ‘FastQC: a quality control tool for high throughput sequence data’. Babraham Bioinformatics, Babraham Institute, Cambridge, United Kingdom.</w:t>
      </w:r>
    </w:p>
    <w:p w14:paraId="5EB668BA"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Aronesty, E. (2013) ‘Comparison of sequencing utility programs’, </w:t>
      </w:r>
      <w:r w:rsidRPr="00766EF5">
        <w:rPr>
          <w:rFonts w:cs="Times New Roman"/>
          <w:i/>
          <w:iCs/>
          <w:noProof/>
          <w:szCs w:val="24"/>
        </w:rPr>
        <w:t>The open bioinformatics journal</w:t>
      </w:r>
      <w:r w:rsidRPr="00766EF5">
        <w:rPr>
          <w:rFonts w:cs="Times New Roman"/>
          <w:noProof/>
          <w:szCs w:val="24"/>
        </w:rPr>
        <w:t>, 7(1).</w:t>
      </w:r>
    </w:p>
    <w:p w14:paraId="16DC90D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Benjamin, R. J. and Wagner, S. J. (2007) ‘The residual risk of sepsis: modeling the effect of concentration on bacterial detection in two‐bottle culture systems and an estimation of false‐negative culture rates’, </w:t>
      </w:r>
      <w:r w:rsidRPr="00766EF5">
        <w:rPr>
          <w:rFonts w:cs="Times New Roman"/>
          <w:i/>
          <w:iCs/>
          <w:noProof/>
          <w:szCs w:val="24"/>
        </w:rPr>
        <w:t>Transfusion</w:t>
      </w:r>
      <w:r w:rsidRPr="00766EF5">
        <w:rPr>
          <w:rFonts w:cs="Times New Roman"/>
          <w:noProof/>
          <w:szCs w:val="24"/>
        </w:rPr>
        <w:t>. Wiley Online Library, 47(8), pp. 1381–1389.</w:t>
      </w:r>
    </w:p>
    <w:p w14:paraId="26AD902D"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Berg, R. D. (1999) ‘Bacterial translocation from the gastrointestinal tract’, </w:t>
      </w:r>
      <w:r w:rsidRPr="00766EF5">
        <w:rPr>
          <w:rFonts w:cs="Times New Roman"/>
          <w:i/>
          <w:iCs/>
          <w:noProof/>
          <w:szCs w:val="24"/>
        </w:rPr>
        <w:t>Mechanisms in the pathogenesis of enteric diseases 2</w:t>
      </w:r>
      <w:r w:rsidRPr="00766EF5">
        <w:rPr>
          <w:rFonts w:cs="Times New Roman"/>
          <w:noProof/>
          <w:szCs w:val="24"/>
        </w:rPr>
        <w:t>. Springer, pp. 11–30.</w:t>
      </w:r>
    </w:p>
    <w:p w14:paraId="6B80E2CA"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Bolyen, E. </w:t>
      </w:r>
      <w:r w:rsidRPr="00766EF5">
        <w:rPr>
          <w:rFonts w:cs="Times New Roman"/>
          <w:i/>
          <w:iCs/>
          <w:noProof/>
          <w:szCs w:val="24"/>
        </w:rPr>
        <w:t>et al.</w:t>
      </w:r>
      <w:r w:rsidRPr="00766EF5">
        <w:rPr>
          <w:rFonts w:cs="Times New Roman"/>
          <w:noProof/>
          <w:szCs w:val="24"/>
        </w:rPr>
        <w:t xml:space="preserve"> (2019) ‘Reproducible, interactive, scalable and extensible microbiome data science using QIIME 2’, </w:t>
      </w:r>
      <w:r w:rsidRPr="00766EF5">
        <w:rPr>
          <w:rFonts w:cs="Times New Roman"/>
          <w:i/>
          <w:iCs/>
          <w:noProof/>
          <w:szCs w:val="24"/>
        </w:rPr>
        <w:t>Nature biotechnology</w:t>
      </w:r>
      <w:r w:rsidRPr="00766EF5">
        <w:rPr>
          <w:rFonts w:cs="Times New Roman"/>
          <w:noProof/>
          <w:szCs w:val="24"/>
        </w:rPr>
        <w:t>. Nature Publishing Group, 37(8), pp. 852–857.</w:t>
      </w:r>
    </w:p>
    <w:p w14:paraId="4A89546C"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Bushnell, B. (2014) </w:t>
      </w:r>
      <w:r w:rsidRPr="00766EF5">
        <w:rPr>
          <w:rFonts w:cs="Times New Roman"/>
          <w:i/>
          <w:iCs/>
          <w:noProof/>
          <w:szCs w:val="24"/>
        </w:rPr>
        <w:t>BBMap: a fast, accurate, splice-aware aligner</w:t>
      </w:r>
      <w:r w:rsidRPr="00766EF5">
        <w:rPr>
          <w:rFonts w:cs="Times New Roman"/>
          <w:noProof/>
          <w:szCs w:val="24"/>
        </w:rPr>
        <w:t>. Lawrence Berkeley National Lab.(LBNL), Berkeley, CA (United States).</w:t>
      </w:r>
    </w:p>
    <w:p w14:paraId="11788296"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Castillo, D. J. </w:t>
      </w:r>
      <w:r w:rsidRPr="00766EF5">
        <w:rPr>
          <w:rFonts w:cs="Times New Roman"/>
          <w:i/>
          <w:iCs/>
          <w:noProof/>
          <w:szCs w:val="24"/>
        </w:rPr>
        <w:t>et al.</w:t>
      </w:r>
      <w:r w:rsidRPr="00766EF5">
        <w:rPr>
          <w:rFonts w:cs="Times New Roman"/>
          <w:noProof/>
          <w:szCs w:val="24"/>
        </w:rPr>
        <w:t xml:space="preserve"> (2019) ‘The healthy human blood microbiome: Fact or fiction?’, </w:t>
      </w:r>
      <w:r w:rsidRPr="00766EF5">
        <w:rPr>
          <w:rFonts w:cs="Times New Roman"/>
          <w:i/>
          <w:iCs/>
          <w:noProof/>
          <w:szCs w:val="24"/>
        </w:rPr>
        <w:t>Frontiers in cellular and infection microbiology</w:t>
      </w:r>
      <w:r w:rsidRPr="00766EF5">
        <w:rPr>
          <w:rFonts w:cs="Times New Roman"/>
          <w:noProof/>
          <w:szCs w:val="24"/>
        </w:rPr>
        <w:t>. Frontiers, 9, p. 148.</w:t>
      </w:r>
    </w:p>
    <w:p w14:paraId="573675A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Cho, E. J. </w:t>
      </w:r>
      <w:r w:rsidRPr="00766EF5">
        <w:rPr>
          <w:rFonts w:cs="Times New Roman"/>
          <w:i/>
          <w:iCs/>
          <w:noProof/>
          <w:szCs w:val="24"/>
        </w:rPr>
        <w:t>et al.</w:t>
      </w:r>
      <w:r w:rsidRPr="00766EF5">
        <w:rPr>
          <w:rFonts w:cs="Times New Roman"/>
          <w:noProof/>
          <w:szCs w:val="24"/>
        </w:rPr>
        <w:t xml:space="preserve"> (2019) ‘Circulating Microbiota-Based Metagenomic Signature for Detection of Hepatocellular Carcinoma’, </w:t>
      </w:r>
      <w:r w:rsidRPr="00766EF5">
        <w:rPr>
          <w:rFonts w:cs="Times New Roman"/>
          <w:i/>
          <w:iCs/>
          <w:noProof/>
          <w:szCs w:val="24"/>
        </w:rPr>
        <w:t>Scientific Reports</w:t>
      </w:r>
      <w:r w:rsidRPr="00766EF5">
        <w:rPr>
          <w:rFonts w:cs="Times New Roman"/>
          <w:noProof/>
          <w:szCs w:val="24"/>
        </w:rPr>
        <w:t>, 9(1), p. 7536. doi: 10.1038/s41598-019-44012-w.</w:t>
      </w:r>
    </w:p>
    <w:p w14:paraId="5F4D6F1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Cronin, M. </w:t>
      </w:r>
      <w:r w:rsidRPr="00766EF5">
        <w:rPr>
          <w:rFonts w:cs="Times New Roman"/>
          <w:i/>
          <w:iCs/>
          <w:noProof/>
          <w:szCs w:val="24"/>
        </w:rPr>
        <w:t>et al.</w:t>
      </w:r>
      <w:r w:rsidRPr="00766EF5">
        <w:rPr>
          <w:rFonts w:cs="Times New Roman"/>
          <w:noProof/>
          <w:szCs w:val="24"/>
        </w:rPr>
        <w:t xml:space="preserve"> (2010) ‘Orally administered bifidobacteria as vehicles for delivery of agents to systemic tumors’, </w:t>
      </w:r>
      <w:r w:rsidRPr="00766EF5">
        <w:rPr>
          <w:rFonts w:cs="Times New Roman"/>
          <w:i/>
          <w:iCs/>
          <w:noProof/>
          <w:szCs w:val="24"/>
        </w:rPr>
        <w:t>Molecular Therapy</w:t>
      </w:r>
      <w:r w:rsidRPr="00766EF5">
        <w:rPr>
          <w:rFonts w:cs="Times New Roman"/>
          <w:noProof/>
          <w:szCs w:val="24"/>
        </w:rPr>
        <w:t>. Elsevier, 18(7), pp. 1397–1407.</w:t>
      </w:r>
    </w:p>
    <w:p w14:paraId="38ABF896"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Damgaard, C. </w:t>
      </w:r>
      <w:r w:rsidRPr="00766EF5">
        <w:rPr>
          <w:rFonts w:cs="Times New Roman"/>
          <w:i/>
          <w:iCs/>
          <w:noProof/>
          <w:szCs w:val="24"/>
        </w:rPr>
        <w:t>et al.</w:t>
      </w:r>
      <w:r w:rsidRPr="00766EF5">
        <w:rPr>
          <w:rFonts w:cs="Times New Roman"/>
          <w:noProof/>
          <w:szCs w:val="24"/>
        </w:rPr>
        <w:t xml:space="preserve"> (2015) ‘Viable bacteria associated with red blood cells and plasma in freshly drawn blood donations’, </w:t>
      </w:r>
      <w:r w:rsidRPr="00766EF5">
        <w:rPr>
          <w:rFonts w:cs="Times New Roman"/>
          <w:i/>
          <w:iCs/>
          <w:noProof/>
          <w:szCs w:val="24"/>
        </w:rPr>
        <w:t>PLoS One</w:t>
      </w:r>
      <w:r w:rsidRPr="00766EF5">
        <w:rPr>
          <w:rFonts w:cs="Times New Roman"/>
          <w:noProof/>
          <w:szCs w:val="24"/>
        </w:rPr>
        <w:t>. Public Library of Science, 10(3), p. e0120826.</w:t>
      </w:r>
    </w:p>
    <w:p w14:paraId="386C588D"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Eisenhofer, R. </w:t>
      </w:r>
      <w:r w:rsidRPr="00766EF5">
        <w:rPr>
          <w:rFonts w:cs="Times New Roman"/>
          <w:i/>
          <w:iCs/>
          <w:noProof/>
          <w:szCs w:val="24"/>
        </w:rPr>
        <w:t>et al.</w:t>
      </w:r>
      <w:r w:rsidRPr="00766EF5">
        <w:rPr>
          <w:rFonts w:cs="Times New Roman"/>
          <w:noProof/>
          <w:szCs w:val="24"/>
        </w:rPr>
        <w:t xml:space="preserve"> (2019) ‘Contamination in Low Microbial Biomass Microbiome Studies: Issues and Recommendations’, </w:t>
      </w:r>
      <w:r w:rsidRPr="00766EF5">
        <w:rPr>
          <w:rFonts w:cs="Times New Roman"/>
          <w:i/>
          <w:iCs/>
          <w:noProof/>
          <w:szCs w:val="24"/>
        </w:rPr>
        <w:t>Trends in Microbiology</w:t>
      </w:r>
      <w:r w:rsidRPr="00766EF5">
        <w:rPr>
          <w:rFonts w:cs="Times New Roman"/>
          <w:noProof/>
          <w:szCs w:val="24"/>
        </w:rPr>
        <w:t xml:space="preserve">, 27(2), pp. 105–117. doi: </w:t>
      </w:r>
      <w:r w:rsidRPr="00766EF5">
        <w:rPr>
          <w:rFonts w:cs="Times New Roman"/>
          <w:noProof/>
          <w:szCs w:val="24"/>
        </w:rPr>
        <w:lastRenderedPageBreak/>
        <w:t>https://doi.org/10.1016/j.tim.2018.11.003.</w:t>
      </w:r>
    </w:p>
    <w:p w14:paraId="2F8DECB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Faust, K. and Raes, J. (2012) ‘Microbial interactions: from networks to models’, </w:t>
      </w:r>
      <w:r w:rsidRPr="00766EF5">
        <w:rPr>
          <w:rFonts w:cs="Times New Roman"/>
          <w:i/>
          <w:iCs/>
          <w:noProof/>
          <w:szCs w:val="24"/>
        </w:rPr>
        <w:t>Nature Reviews Microbiology</w:t>
      </w:r>
      <w:r w:rsidRPr="00766EF5">
        <w:rPr>
          <w:rFonts w:cs="Times New Roman"/>
          <w:noProof/>
          <w:szCs w:val="24"/>
        </w:rPr>
        <w:t>. Nature Publishing Group, 10(8), pp. 538–550.</w:t>
      </w:r>
    </w:p>
    <w:p w14:paraId="72BE297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Glassing, A. </w:t>
      </w:r>
      <w:r w:rsidRPr="00766EF5">
        <w:rPr>
          <w:rFonts w:cs="Times New Roman"/>
          <w:i/>
          <w:iCs/>
          <w:noProof/>
          <w:szCs w:val="24"/>
        </w:rPr>
        <w:t>et al.</w:t>
      </w:r>
      <w:r w:rsidRPr="00766EF5">
        <w:rPr>
          <w:rFonts w:cs="Times New Roman"/>
          <w:noProof/>
          <w:szCs w:val="24"/>
        </w:rPr>
        <w:t xml:space="preserve"> (2016) ‘Inherent bacterial DNA contamination of extraction and sequencing reagents may affect interpretation of microbiota in low bacterial biomass samples’, </w:t>
      </w:r>
      <w:r w:rsidRPr="00766EF5">
        <w:rPr>
          <w:rFonts w:cs="Times New Roman"/>
          <w:i/>
          <w:iCs/>
          <w:noProof/>
          <w:szCs w:val="24"/>
        </w:rPr>
        <w:t>Gut pathogens</w:t>
      </w:r>
      <w:r w:rsidRPr="00766EF5">
        <w:rPr>
          <w:rFonts w:cs="Times New Roman"/>
          <w:noProof/>
          <w:szCs w:val="24"/>
        </w:rPr>
        <w:t>. Springer, 8(1), p. 24.</w:t>
      </w:r>
    </w:p>
    <w:p w14:paraId="044A0BBC"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Gosiewski, T., Jurkiewicz-Badacz, D., </w:t>
      </w:r>
      <w:r w:rsidRPr="00766EF5">
        <w:rPr>
          <w:rFonts w:cs="Times New Roman"/>
          <w:i/>
          <w:iCs/>
          <w:noProof/>
          <w:szCs w:val="24"/>
        </w:rPr>
        <w:t>et al.</w:t>
      </w:r>
      <w:r w:rsidRPr="00766EF5">
        <w:rPr>
          <w:rFonts w:cs="Times New Roman"/>
          <w:noProof/>
          <w:szCs w:val="24"/>
        </w:rPr>
        <w:t xml:space="preserve"> (2014) ‘A novel, nested, multiplex, real-time PCR for detection of bacteria and fungi in blood’, </w:t>
      </w:r>
      <w:r w:rsidRPr="00766EF5">
        <w:rPr>
          <w:rFonts w:cs="Times New Roman"/>
          <w:i/>
          <w:iCs/>
          <w:noProof/>
          <w:szCs w:val="24"/>
        </w:rPr>
        <w:t>BMC microbiology</w:t>
      </w:r>
      <w:r w:rsidRPr="00766EF5">
        <w:rPr>
          <w:rFonts w:cs="Times New Roman"/>
          <w:noProof/>
          <w:szCs w:val="24"/>
        </w:rPr>
        <w:t>. Springer, 14(1), pp. 1–7.</w:t>
      </w:r>
    </w:p>
    <w:p w14:paraId="27B0D9A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Gosiewski, T., Szała, L., </w:t>
      </w:r>
      <w:r w:rsidRPr="00766EF5">
        <w:rPr>
          <w:rFonts w:cs="Times New Roman"/>
          <w:i/>
          <w:iCs/>
          <w:noProof/>
          <w:szCs w:val="24"/>
        </w:rPr>
        <w:t>et al.</w:t>
      </w:r>
      <w:r w:rsidRPr="00766EF5">
        <w:rPr>
          <w:rFonts w:cs="Times New Roman"/>
          <w:noProof/>
          <w:szCs w:val="24"/>
        </w:rPr>
        <w:t xml:space="preserve"> (2014) ‘Comparison of methods for isolation of bacterial and fungal DNA from human blood’, </w:t>
      </w:r>
      <w:r w:rsidRPr="00766EF5">
        <w:rPr>
          <w:rFonts w:cs="Times New Roman"/>
          <w:i/>
          <w:iCs/>
          <w:noProof/>
          <w:szCs w:val="24"/>
        </w:rPr>
        <w:t>Current microbiology</w:t>
      </w:r>
      <w:r w:rsidRPr="00766EF5">
        <w:rPr>
          <w:rFonts w:cs="Times New Roman"/>
          <w:noProof/>
          <w:szCs w:val="24"/>
        </w:rPr>
        <w:t>. Springer, 68(2), pp. 149–155.</w:t>
      </w:r>
    </w:p>
    <w:p w14:paraId="469BAC6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Gosiewski, T. </w:t>
      </w:r>
      <w:r w:rsidRPr="00766EF5">
        <w:rPr>
          <w:rFonts w:cs="Times New Roman"/>
          <w:i/>
          <w:iCs/>
          <w:noProof/>
          <w:szCs w:val="24"/>
        </w:rPr>
        <w:t>et al.</w:t>
      </w:r>
      <w:r w:rsidRPr="00766EF5">
        <w:rPr>
          <w:rFonts w:cs="Times New Roman"/>
          <w:noProof/>
          <w:szCs w:val="24"/>
        </w:rPr>
        <w:t xml:space="preserve"> (2017) ‘Comprehensive detection and identification of bacterial DNA in the blood of patients with sepsis and healthy volunteers using next-generation sequencing method-the observation of DNAemia’, </w:t>
      </w:r>
      <w:r w:rsidRPr="00766EF5">
        <w:rPr>
          <w:rFonts w:cs="Times New Roman"/>
          <w:i/>
          <w:iCs/>
          <w:noProof/>
          <w:szCs w:val="24"/>
        </w:rPr>
        <w:t>European Journal of Clinical Microbiology &amp; Infectious Diseases</w:t>
      </w:r>
      <w:r w:rsidRPr="00766EF5">
        <w:rPr>
          <w:rFonts w:cs="Times New Roman"/>
          <w:noProof/>
          <w:szCs w:val="24"/>
        </w:rPr>
        <w:t>. Springer, 36(2), pp. 329–336.</w:t>
      </w:r>
    </w:p>
    <w:p w14:paraId="5D3183C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Goto, M. and Al-Hasan, M. N. (2013) ‘Overall burden of bloodstream infection and nosocomial bloodstream infection in North America and Europe’, </w:t>
      </w:r>
      <w:r w:rsidRPr="00766EF5">
        <w:rPr>
          <w:rFonts w:cs="Times New Roman"/>
          <w:i/>
          <w:iCs/>
          <w:noProof/>
          <w:szCs w:val="24"/>
        </w:rPr>
        <w:t>Clinical Microbiology and Infection</w:t>
      </w:r>
      <w:r w:rsidRPr="00766EF5">
        <w:rPr>
          <w:rFonts w:cs="Times New Roman"/>
          <w:noProof/>
          <w:szCs w:val="24"/>
        </w:rPr>
        <w:t>. Elsevier, 19(6), pp. 501–509.</w:t>
      </w:r>
    </w:p>
    <w:p w14:paraId="4F98F7A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Hojo, K. </w:t>
      </w:r>
      <w:r w:rsidRPr="00766EF5">
        <w:rPr>
          <w:rFonts w:cs="Times New Roman"/>
          <w:i/>
          <w:iCs/>
          <w:noProof/>
          <w:szCs w:val="24"/>
        </w:rPr>
        <w:t>et al.</w:t>
      </w:r>
      <w:r w:rsidRPr="00766EF5">
        <w:rPr>
          <w:rFonts w:cs="Times New Roman"/>
          <w:noProof/>
          <w:szCs w:val="24"/>
        </w:rPr>
        <w:t xml:space="preserve"> (2007) ‘Distribution of salivary Lactobacillus and Bifidobacterium species in periodontal health and disease’, </w:t>
      </w:r>
      <w:r w:rsidRPr="00766EF5">
        <w:rPr>
          <w:rFonts w:cs="Times New Roman"/>
          <w:i/>
          <w:iCs/>
          <w:noProof/>
          <w:szCs w:val="24"/>
        </w:rPr>
        <w:t>Bioscience, biotechnology, and biochemistry</w:t>
      </w:r>
      <w:r w:rsidRPr="00766EF5">
        <w:rPr>
          <w:rFonts w:cs="Times New Roman"/>
          <w:noProof/>
          <w:szCs w:val="24"/>
        </w:rPr>
        <w:t>. Taylor &amp; Francis, 71(1), pp. 152–157.</w:t>
      </w:r>
    </w:p>
    <w:p w14:paraId="3A62A341"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Jervis-Bardy, J. </w:t>
      </w:r>
      <w:r w:rsidRPr="00766EF5">
        <w:rPr>
          <w:rFonts w:cs="Times New Roman"/>
          <w:i/>
          <w:iCs/>
          <w:noProof/>
          <w:szCs w:val="24"/>
        </w:rPr>
        <w:t>et al.</w:t>
      </w:r>
      <w:r w:rsidRPr="00766EF5">
        <w:rPr>
          <w:rFonts w:cs="Times New Roman"/>
          <w:noProof/>
          <w:szCs w:val="24"/>
        </w:rPr>
        <w:t xml:space="preserve"> (2015) ‘Deriving accurate microbiota profiles from human samples with low bacterial content through post-sequencing processing of Illumina MiSeq data’, </w:t>
      </w:r>
      <w:r w:rsidRPr="00766EF5">
        <w:rPr>
          <w:rFonts w:cs="Times New Roman"/>
          <w:i/>
          <w:iCs/>
          <w:noProof/>
          <w:szCs w:val="24"/>
        </w:rPr>
        <w:t>Microbiome</w:t>
      </w:r>
      <w:r w:rsidRPr="00766EF5">
        <w:rPr>
          <w:rFonts w:cs="Times New Roman"/>
          <w:noProof/>
          <w:szCs w:val="24"/>
        </w:rPr>
        <w:t>. Springer, 3(1), p. 19.</w:t>
      </w:r>
    </w:p>
    <w:p w14:paraId="751DD4AB"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Krijthe, J., van der Maaten, L. and Krijthe, M. J. (2018) ‘Package “Rtsne”’. GitHub.</w:t>
      </w:r>
    </w:p>
    <w:p w14:paraId="14749F1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Laurence, M., Hatzis, C. and Brash, D. E. (2014) ‘Common contaminants in next-generation sequencing that hinder discovery of low-abundance microbes’, </w:t>
      </w:r>
      <w:r w:rsidRPr="00766EF5">
        <w:rPr>
          <w:rFonts w:cs="Times New Roman"/>
          <w:i/>
          <w:iCs/>
          <w:noProof/>
          <w:szCs w:val="24"/>
        </w:rPr>
        <w:t>PloS one</w:t>
      </w:r>
      <w:r w:rsidRPr="00766EF5">
        <w:rPr>
          <w:rFonts w:cs="Times New Roman"/>
          <w:noProof/>
          <w:szCs w:val="24"/>
        </w:rPr>
        <w:t>. Public Library of Science, 9(5), p. e97876.</w:t>
      </w:r>
    </w:p>
    <w:p w14:paraId="59079EF3"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lastRenderedPageBreak/>
        <w:t xml:space="preserve">Lu, J. and Salzberg, S. L. (2020) ‘Ultrafast and accurate 16S rRNA microbial community analysis using Kraken 2’, </w:t>
      </w:r>
      <w:r w:rsidRPr="00766EF5">
        <w:rPr>
          <w:rFonts w:cs="Times New Roman"/>
          <w:i/>
          <w:iCs/>
          <w:noProof/>
          <w:szCs w:val="24"/>
        </w:rPr>
        <w:t>Microbiome</w:t>
      </w:r>
      <w:r w:rsidRPr="00766EF5">
        <w:rPr>
          <w:rFonts w:cs="Times New Roman"/>
          <w:noProof/>
          <w:szCs w:val="24"/>
        </w:rPr>
        <w:t>, 8(1), p. 124. doi: 10.1186/s40168-020-00900-2.</w:t>
      </w:r>
    </w:p>
    <w:p w14:paraId="1469C49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Van Der Maaten, L. (2014) ‘Accelerating t-SNE using tree-based algorithms’, </w:t>
      </w:r>
      <w:r w:rsidRPr="00766EF5">
        <w:rPr>
          <w:rFonts w:cs="Times New Roman"/>
          <w:i/>
          <w:iCs/>
          <w:noProof/>
          <w:szCs w:val="24"/>
        </w:rPr>
        <w:t>The Journal of Machine Learning Research</w:t>
      </w:r>
      <w:r w:rsidRPr="00766EF5">
        <w:rPr>
          <w:rFonts w:cs="Times New Roman"/>
          <w:noProof/>
          <w:szCs w:val="24"/>
        </w:rPr>
        <w:t>. JMLR. org, 15(1), pp. 3221–3245.</w:t>
      </w:r>
    </w:p>
    <w:p w14:paraId="38A6C4EB"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Marsh, P. D. (2000) ‘Role of the oral microflora in health’, </w:t>
      </w:r>
      <w:r w:rsidRPr="00766EF5">
        <w:rPr>
          <w:rFonts w:cs="Times New Roman"/>
          <w:i/>
          <w:iCs/>
          <w:noProof/>
          <w:szCs w:val="24"/>
        </w:rPr>
        <w:t>Microbial Ecology in Health and Disease</w:t>
      </w:r>
      <w:r w:rsidRPr="00766EF5">
        <w:rPr>
          <w:rFonts w:cs="Times New Roman"/>
          <w:noProof/>
          <w:szCs w:val="24"/>
        </w:rPr>
        <w:t>. Taylor &amp; Francis, 12(3), pp. 130–137.</w:t>
      </w:r>
    </w:p>
    <w:p w14:paraId="70DD47D4"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Martin, M. (2011) ‘Cutadapt removes adapter sequences from high-throughput sequencing reads’, </w:t>
      </w:r>
      <w:r w:rsidRPr="00766EF5">
        <w:rPr>
          <w:rFonts w:cs="Times New Roman"/>
          <w:i/>
          <w:iCs/>
          <w:noProof/>
          <w:szCs w:val="24"/>
        </w:rPr>
        <w:t>EMBnet. journal</w:t>
      </w:r>
      <w:r w:rsidRPr="00766EF5">
        <w:rPr>
          <w:rFonts w:cs="Times New Roman"/>
          <w:noProof/>
          <w:szCs w:val="24"/>
        </w:rPr>
        <w:t>, 17(1), pp. 10–12.</w:t>
      </w:r>
    </w:p>
    <w:p w14:paraId="741995C3"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Moriyama, K. </w:t>
      </w:r>
      <w:r w:rsidRPr="00766EF5">
        <w:rPr>
          <w:rFonts w:cs="Times New Roman"/>
          <w:i/>
          <w:iCs/>
          <w:noProof/>
          <w:szCs w:val="24"/>
        </w:rPr>
        <w:t>et al.</w:t>
      </w:r>
      <w:r w:rsidRPr="00766EF5">
        <w:rPr>
          <w:rFonts w:cs="Times New Roman"/>
          <w:noProof/>
          <w:szCs w:val="24"/>
        </w:rPr>
        <w:t xml:space="preserve"> (2008) ‘Polymerase chain reaction detection of bacterial 16S rRNA gene in human blood’, </w:t>
      </w:r>
      <w:r w:rsidRPr="00766EF5">
        <w:rPr>
          <w:rFonts w:cs="Times New Roman"/>
          <w:i/>
          <w:iCs/>
          <w:noProof/>
          <w:szCs w:val="24"/>
        </w:rPr>
        <w:t>Microbiology and immunology</w:t>
      </w:r>
      <w:r w:rsidRPr="00766EF5">
        <w:rPr>
          <w:rFonts w:cs="Times New Roman"/>
          <w:noProof/>
          <w:szCs w:val="24"/>
        </w:rPr>
        <w:t>. Wiley Online Library, 52(7), pp. 375–382.</w:t>
      </w:r>
    </w:p>
    <w:p w14:paraId="14933C86"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Morton, J. T. </w:t>
      </w:r>
      <w:r w:rsidRPr="00766EF5">
        <w:rPr>
          <w:rFonts w:cs="Times New Roman"/>
          <w:i/>
          <w:iCs/>
          <w:noProof/>
          <w:szCs w:val="24"/>
        </w:rPr>
        <w:t>et al.</w:t>
      </w:r>
      <w:r w:rsidRPr="00766EF5">
        <w:rPr>
          <w:rFonts w:cs="Times New Roman"/>
          <w:noProof/>
          <w:szCs w:val="24"/>
        </w:rPr>
        <w:t xml:space="preserve"> (2019) ‘Establishing microbial composition measurement standards with reference frames’, </w:t>
      </w:r>
      <w:r w:rsidRPr="00766EF5">
        <w:rPr>
          <w:rFonts w:cs="Times New Roman"/>
          <w:i/>
          <w:iCs/>
          <w:noProof/>
          <w:szCs w:val="24"/>
        </w:rPr>
        <w:t>Nature Communications</w:t>
      </w:r>
      <w:r w:rsidRPr="00766EF5">
        <w:rPr>
          <w:rFonts w:cs="Times New Roman"/>
          <w:noProof/>
          <w:szCs w:val="24"/>
        </w:rPr>
        <w:t>, 10(1), p. 2719. doi: 10.1038/s41467-019-10656-5.</w:t>
      </w:r>
    </w:p>
    <w:p w14:paraId="6F859CB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Moustafa, A. </w:t>
      </w:r>
      <w:r w:rsidRPr="00766EF5">
        <w:rPr>
          <w:rFonts w:cs="Times New Roman"/>
          <w:i/>
          <w:iCs/>
          <w:noProof/>
          <w:szCs w:val="24"/>
        </w:rPr>
        <w:t>et al.</w:t>
      </w:r>
      <w:r w:rsidRPr="00766EF5">
        <w:rPr>
          <w:rFonts w:cs="Times New Roman"/>
          <w:noProof/>
          <w:szCs w:val="24"/>
        </w:rPr>
        <w:t xml:space="preserve"> (2017) ‘The blood DNA virome in 8,000 humans’, </w:t>
      </w:r>
      <w:r w:rsidRPr="00766EF5">
        <w:rPr>
          <w:rFonts w:cs="Times New Roman"/>
          <w:i/>
          <w:iCs/>
          <w:noProof/>
          <w:szCs w:val="24"/>
        </w:rPr>
        <w:t>PLoS pathogens</w:t>
      </w:r>
      <w:r w:rsidRPr="00766EF5">
        <w:rPr>
          <w:rFonts w:cs="Times New Roman"/>
          <w:noProof/>
          <w:szCs w:val="24"/>
        </w:rPr>
        <w:t>. Public Library of Science, 13(3), p. e1006292.</w:t>
      </w:r>
    </w:p>
    <w:p w14:paraId="73D9457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Païssé, S. </w:t>
      </w:r>
      <w:r w:rsidRPr="00766EF5">
        <w:rPr>
          <w:rFonts w:cs="Times New Roman"/>
          <w:i/>
          <w:iCs/>
          <w:noProof/>
          <w:szCs w:val="24"/>
        </w:rPr>
        <w:t>et al.</w:t>
      </w:r>
      <w:r w:rsidRPr="00766EF5">
        <w:rPr>
          <w:rFonts w:cs="Times New Roman"/>
          <w:noProof/>
          <w:szCs w:val="24"/>
        </w:rPr>
        <w:t xml:space="preserve"> (2016) ‘Comprehensive description of blood microbiome from healthy donors assessed by 16 S targeted metagenomic sequencing’, </w:t>
      </w:r>
      <w:r w:rsidRPr="00766EF5">
        <w:rPr>
          <w:rFonts w:cs="Times New Roman"/>
          <w:i/>
          <w:iCs/>
          <w:noProof/>
          <w:szCs w:val="24"/>
        </w:rPr>
        <w:t>Transfusion</w:t>
      </w:r>
      <w:r w:rsidRPr="00766EF5">
        <w:rPr>
          <w:rFonts w:cs="Times New Roman"/>
          <w:noProof/>
          <w:szCs w:val="24"/>
        </w:rPr>
        <w:t>. Wiley Online Library, 56(5), pp. 1138–1147.</w:t>
      </w:r>
    </w:p>
    <w:p w14:paraId="714A8FD0"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Paradis, E. and Schliep, K. (2019) ‘ape 5.0: an environment for modern phylogenetics and evolutionary analyses in R’, </w:t>
      </w:r>
      <w:r w:rsidRPr="00766EF5">
        <w:rPr>
          <w:rFonts w:cs="Times New Roman"/>
          <w:i/>
          <w:iCs/>
          <w:noProof/>
          <w:szCs w:val="24"/>
        </w:rPr>
        <w:t>Bioinformatics</w:t>
      </w:r>
      <w:r w:rsidRPr="00766EF5">
        <w:rPr>
          <w:rFonts w:cs="Times New Roman"/>
          <w:noProof/>
          <w:szCs w:val="24"/>
        </w:rPr>
        <w:t>. Oxford University Press, 35(3), pp. 526–528.</w:t>
      </w:r>
    </w:p>
    <w:p w14:paraId="547C179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Perera, D. </w:t>
      </w:r>
      <w:r w:rsidRPr="00766EF5">
        <w:rPr>
          <w:rFonts w:cs="Times New Roman"/>
          <w:i/>
          <w:iCs/>
          <w:noProof/>
          <w:szCs w:val="24"/>
        </w:rPr>
        <w:t>et al.</w:t>
      </w:r>
      <w:r w:rsidRPr="00766EF5">
        <w:rPr>
          <w:rFonts w:cs="Times New Roman"/>
          <w:noProof/>
          <w:szCs w:val="24"/>
        </w:rPr>
        <w:t xml:space="preserve"> (2021) ‘Impaired host response and the presence of Acinetobacter baumannii in the serum microbiome of type-II diabetic patients’, </w:t>
      </w:r>
      <w:r w:rsidRPr="00766EF5">
        <w:rPr>
          <w:rFonts w:cs="Times New Roman"/>
          <w:i/>
          <w:iCs/>
          <w:noProof/>
          <w:szCs w:val="24"/>
        </w:rPr>
        <w:t>Iscience</w:t>
      </w:r>
      <w:r w:rsidRPr="00766EF5">
        <w:rPr>
          <w:rFonts w:cs="Times New Roman"/>
          <w:noProof/>
          <w:szCs w:val="24"/>
        </w:rPr>
        <w:t>. Elsevier, 24(1), p. 101941.</w:t>
      </w:r>
    </w:p>
    <w:p w14:paraId="37A1235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Potgieter, M. </w:t>
      </w:r>
      <w:r w:rsidRPr="00766EF5">
        <w:rPr>
          <w:rFonts w:cs="Times New Roman"/>
          <w:i/>
          <w:iCs/>
          <w:noProof/>
          <w:szCs w:val="24"/>
        </w:rPr>
        <w:t>et al.</w:t>
      </w:r>
      <w:r w:rsidRPr="00766EF5">
        <w:rPr>
          <w:rFonts w:cs="Times New Roman"/>
          <w:noProof/>
          <w:szCs w:val="24"/>
        </w:rPr>
        <w:t xml:space="preserve"> (2015) ‘The dormant blood microbiome in chronic, inflammatory diseases’, </w:t>
      </w:r>
      <w:r w:rsidRPr="00766EF5">
        <w:rPr>
          <w:rFonts w:cs="Times New Roman"/>
          <w:i/>
          <w:iCs/>
          <w:noProof/>
          <w:szCs w:val="24"/>
        </w:rPr>
        <w:t>FEMS Microbiology Reviews</w:t>
      </w:r>
      <w:r w:rsidRPr="00766EF5">
        <w:rPr>
          <w:rFonts w:cs="Times New Roman"/>
          <w:noProof/>
          <w:szCs w:val="24"/>
        </w:rPr>
        <w:t>, 39(4), pp. 567–591. doi: 10.1093/femsre/fuv013.</w:t>
      </w:r>
    </w:p>
    <w:p w14:paraId="3BD6932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Quast, C. </w:t>
      </w:r>
      <w:r w:rsidRPr="00766EF5">
        <w:rPr>
          <w:rFonts w:cs="Times New Roman"/>
          <w:i/>
          <w:iCs/>
          <w:noProof/>
          <w:szCs w:val="24"/>
        </w:rPr>
        <w:t>et al.</w:t>
      </w:r>
      <w:r w:rsidRPr="00766EF5">
        <w:rPr>
          <w:rFonts w:cs="Times New Roman"/>
          <w:noProof/>
          <w:szCs w:val="24"/>
        </w:rPr>
        <w:t xml:space="preserve"> (2012) ‘The SILVA ribosomal RNA gene database project: improved data processing and web-based tools’, </w:t>
      </w:r>
      <w:r w:rsidRPr="00766EF5">
        <w:rPr>
          <w:rFonts w:cs="Times New Roman"/>
          <w:i/>
          <w:iCs/>
          <w:noProof/>
          <w:szCs w:val="24"/>
        </w:rPr>
        <w:t>Nucleic acids research</w:t>
      </w:r>
      <w:r w:rsidRPr="00766EF5">
        <w:rPr>
          <w:rFonts w:cs="Times New Roman"/>
          <w:noProof/>
          <w:szCs w:val="24"/>
        </w:rPr>
        <w:t>. Oxford University Press, 41(D1), pp. D590–D596.</w:t>
      </w:r>
    </w:p>
    <w:p w14:paraId="31D74BDB"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Reuter, G. (2001) ‘The Lactobacillus and Bifidobacterium microflora of the human intestine: </w:t>
      </w:r>
      <w:r w:rsidRPr="00766EF5">
        <w:rPr>
          <w:rFonts w:cs="Times New Roman"/>
          <w:noProof/>
          <w:szCs w:val="24"/>
        </w:rPr>
        <w:lastRenderedPageBreak/>
        <w:t xml:space="preserve">composition and succession’, </w:t>
      </w:r>
      <w:r w:rsidRPr="00766EF5">
        <w:rPr>
          <w:rFonts w:cs="Times New Roman"/>
          <w:i/>
          <w:iCs/>
          <w:noProof/>
          <w:szCs w:val="24"/>
        </w:rPr>
        <w:t>Current issues in intestinal microbiology</w:t>
      </w:r>
      <w:r w:rsidRPr="00766EF5">
        <w:rPr>
          <w:rFonts w:cs="Times New Roman"/>
          <w:noProof/>
          <w:szCs w:val="24"/>
        </w:rPr>
        <w:t>, 2(2), pp. 43–53.</w:t>
      </w:r>
    </w:p>
    <w:p w14:paraId="2B85D57F"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Roager, H. M. and Licht, T. R. (2018) ‘Microbial tryptophan catabolites in health and disease’, </w:t>
      </w:r>
      <w:r w:rsidRPr="00766EF5">
        <w:rPr>
          <w:rFonts w:cs="Times New Roman"/>
          <w:i/>
          <w:iCs/>
          <w:noProof/>
          <w:szCs w:val="24"/>
        </w:rPr>
        <w:t>Nature Communications</w:t>
      </w:r>
      <w:r w:rsidRPr="00766EF5">
        <w:rPr>
          <w:rFonts w:cs="Times New Roman"/>
          <w:noProof/>
          <w:szCs w:val="24"/>
        </w:rPr>
        <w:t>, 9(1), p. 3294. doi: 10.1038/s41467-018-05470-4.</w:t>
      </w:r>
    </w:p>
    <w:p w14:paraId="485C20CF"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Salter, S. J. </w:t>
      </w:r>
      <w:r w:rsidRPr="00766EF5">
        <w:rPr>
          <w:rFonts w:cs="Times New Roman"/>
          <w:i/>
          <w:iCs/>
          <w:noProof/>
          <w:szCs w:val="24"/>
        </w:rPr>
        <w:t>et al.</w:t>
      </w:r>
      <w:r w:rsidRPr="00766EF5">
        <w:rPr>
          <w:rFonts w:cs="Times New Roman"/>
          <w:noProof/>
          <w:szCs w:val="24"/>
        </w:rPr>
        <w:t xml:space="preserve"> (2014) ‘Reagent and laboratory contamination can critically impact sequence-based microbiome analyses’, </w:t>
      </w:r>
      <w:r w:rsidRPr="00766EF5">
        <w:rPr>
          <w:rFonts w:cs="Times New Roman"/>
          <w:i/>
          <w:iCs/>
          <w:noProof/>
          <w:szCs w:val="24"/>
        </w:rPr>
        <w:t>BMC biology</w:t>
      </w:r>
      <w:r w:rsidRPr="00766EF5">
        <w:rPr>
          <w:rFonts w:cs="Times New Roman"/>
          <w:noProof/>
          <w:szCs w:val="24"/>
        </w:rPr>
        <w:t>. Springer, 12(1), p. 87.</w:t>
      </w:r>
    </w:p>
    <w:p w14:paraId="11637D78"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Scepanovic, P. </w:t>
      </w:r>
      <w:r w:rsidRPr="00766EF5">
        <w:rPr>
          <w:rFonts w:cs="Times New Roman"/>
          <w:i/>
          <w:iCs/>
          <w:noProof/>
          <w:szCs w:val="24"/>
        </w:rPr>
        <w:t>et al.</w:t>
      </w:r>
      <w:r w:rsidRPr="00766EF5">
        <w:rPr>
          <w:rFonts w:cs="Times New Roman"/>
          <w:noProof/>
          <w:szCs w:val="24"/>
        </w:rPr>
        <w:t xml:space="preserve"> (2019) ‘A comprehensive assessment of demographic, environmental, and host genetic associations with gut microbiome diversity in healthy individuals’, </w:t>
      </w:r>
      <w:r w:rsidRPr="00766EF5">
        <w:rPr>
          <w:rFonts w:cs="Times New Roman"/>
          <w:i/>
          <w:iCs/>
          <w:noProof/>
          <w:szCs w:val="24"/>
        </w:rPr>
        <w:t>Microbiome</w:t>
      </w:r>
      <w:r w:rsidRPr="00766EF5">
        <w:rPr>
          <w:rFonts w:cs="Times New Roman"/>
          <w:noProof/>
          <w:szCs w:val="24"/>
        </w:rPr>
        <w:t>, 7(1), p. 130. doi: 10.1186/s40168-019-0747-x.</w:t>
      </w:r>
    </w:p>
    <w:p w14:paraId="30D11706"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Serena, G. </w:t>
      </w:r>
      <w:r w:rsidRPr="00766EF5">
        <w:rPr>
          <w:rFonts w:cs="Times New Roman"/>
          <w:i/>
          <w:iCs/>
          <w:noProof/>
          <w:szCs w:val="24"/>
        </w:rPr>
        <w:t>et al.</w:t>
      </w:r>
      <w:r w:rsidRPr="00766EF5">
        <w:rPr>
          <w:rFonts w:cs="Times New Roman"/>
          <w:noProof/>
          <w:szCs w:val="24"/>
        </w:rPr>
        <w:t xml:space="preserve"> (2019) ‘Analysis of blood and fecal microbiome profile in patients with celiac disease’, </w:t>
      </w:r>
      <w:r w:rsidRPr="00766EF5">
        <w:rPr>
          <w:rFonts w:cs="Times New Roman"/>
          <w:i/>
          <w:iCs/>
          <w:noProof/>
          <w:szCs w:val="24"/>
        </w:rPr>
        <w:t>Human Microbiome Journal</w:t>
      </w:r>
      <w:r w:rsidRPr="00766EF5">
        <w:rPr>
          <w:rFonts w:cs="Times New Roman"/>
          <w:noProof/>
          <w:szCs w:val="24"/>
        </w:rPr>
        <w:t>, 11, p. 100049. doi: https://doi.org/10.1016/j.humic.2018.12.001.</w:t>
      </w:r>
    </w:p>
    <w:p w14:paraId="606CFE0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Shannon, C. E. (1948) ‘A mathematical theory of communication’, </w:t>
      </w:r>
      <w:r w:rsidRPr="00766EF5">
        <w:rPr>
          <w:rFonts w:cs="Times New Roman"/>
          <w:i/>
          <w:iCs/>
          <w:noProof/>
          <w:szCs w:val="24"/>
        </w:rPr>
        <w:t>The Bell system technical journal</w:t>
      </w:r>
      <w:r w:rsidRPr="00766EF5">
        <w:rPr>
          <w:rFonts w:cs="Times New Roman"/>
          <w:noProof/>
          <w:szCs w:val="24"/>
        </w:rPr>
        <w:t>. Nokia Bell Labs, 27(3), pp. 379–423.</w:t>
      </w:r>
    </w:p>
    <w:p w14:paraId="5059F28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Simon, H. Y. </w:t>
      </w:r>
      <w:r w:rsidRPr="00766EF5">
        <w:rPr>
          <w:rFonts w:cs="Times New Roman"/>
          <w:i/>
          <w:iCs/>
          <w:noProof/>
          <w:szCs w:val="24"/>
        </w:rPr>
        <w:t>et al.</w:t>
      </w:r>
      <w:r w:rsidRPr="00766EF5">
        <w:rPr>
          <w:rFonts w:cs="Times New Roman"/>
          <w:noProof/>
          <w:szCs w:val="24"/>
        </w:rPr>
        <w:t xml:space="preserve"> (2019) ‘Benchmarking metagenomics tools for taxonomic classification’, </w:t>
      </w:r>
      <w:r w:rsidRPr="00766EF5">
        <w:rPr>
          <w:rFonts w:cs="Times New Roman"/>
          <w:i/>
          <w:iCs/>
          <w:noProof/>
          <w:szCs w:val="24"/>
        </w:rPr>
        <w:t>Cell</w:t>
      </w:r>
      <w:r w:rsidRPr="00766EF5">
        <w:rPr>
          <w:rFonts w:cs="Times New Roman"/>
          <w:noProof/>
          <w:szCs w:val="24"/>
        </w:rPr>
        <w:t>. Elsevier, 178(4), pp. 779–794.</w:t>
      </w:r>
    </w:p>
    <w:p w14:paraId="25BA611D"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Tan, C. C. S. </w:t>
      </w:r>
      <w:r w:rsidRPr="00766EF5">
        <w:rPr>
          <w:rFonts w:cs="Times New Roman"/>
          <w:i/>
          <w:iCs/>
          <w:noProof/>
          <w:szCs w:val="24"/>
        </w:rPr>
        <w:t>et al.</w:t>
      </w:r>
      <w:r w:rsidRPr="00766EF5">
        <w:rPr>
          <w:rFonts w:cs="Times New Roman"/>
          <w:noProof/>
          <w:szCs w:val="24"/>
        </w:rPr>
        <w:t xml:space="preserve"> (2020) ‘Metagenomic evidence for a polymicrobial signature of sepsis’, </w:t>
      </w:r>
      <w:r w:rsidRPr="00766EF5">
        <w:rPr>
          <w:rFonts w:cs="Times New Roman"/>
          <w:i/>
          <w:iCs/>
          <w:noProof/>
          <w:szCs w:val="24"/>
        </w:rPr>
        <w:t>bioRxiv</w:t>
      </w:r>
      <w:r w:rsidRPr="00766EF5">
        <w:rPr>
          <w:rFonts w:cs="Times New Roman"/>
          <w:noProof/>
          <w:szCs w:val="24"/>
        </w:rPr>
        <w:t>. Cold Spring Harbor Laboratory.</w:t>
      </w:r>
    </w:p>
    <w:p w14:paraId="7A2C6C3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Turroni, F. </w:t>
      </w:r>
      <w:r w:rsidRPr="00766EF5">
        <w:rPr>
          <w:rFonts w:cs="Times New Roman"/>
          <w:i/>
          <w:iCs/>
          <w:noProof/>
          <w:szCs w:val="24"/>
        </w:rPr>
        <w:t>et al.</w:t>
      </w:r>
      <w:r w:rsidRPr="00766EF5">
        <w:rPr>
          <w:rFonts w:cs="Times New Roman"/>
          <w:noProof/>
          <w:szCs w:val="24"/>
        </w:rPr>
        <w:t xml:space="preserve"> (2014) ‘Bifidobacterium bifidum as an example of a specialized human gut commensal’, </w:t>
      </w:r>
      <w:r w:rsidRPr="00766EF5">
        <w:rPr>
          <w:rFonts w:cs="Times New Roman"/>
          <w:i/>
          <w:iCs/>
          <w:noProof/>
          <w:szCs w:val="24"/>
        </w:rPr>
        <w:t>Frontiers in microbiology</w:t>
      </w:r>
      <w:r w:rsidRPr="00766EF5">
        <w:rPr>
          <w:rFonts w:cs="Times New Roman"/>
          <w:noProof/>
          <w:szCs w:val="24"/>
        </w:rPr>
        <w:t>. Frontiers, 5, p. 437.</w:t>
      </w:r>
    </w:p>
    <w:p w14:paraId="1540CCFB"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Weiss, S. </w:t>
      </w:r>
      <w:r w:rsidRPr="00766EF5">
        <w:rPr>
          <w:rFonts w:cs="Times New Roman"/>
          <w:i/>
          <w:iCs/>
          <w:noProof/>
          <w:szCs w:val="24"/>
        </w:rPr>
        <w:t>et al.</w:t>
      </w:r>
      <w:r w:rsidRPr="00766EF5">
        <w:rPr>
          <w:rFonts w:cs="Times New Roman"/>
          <w:noProof/>
          <w:szCs w:val="24"/>
        </w:rPr>
        <w:t xml:space="preserve"> (2014) ‘Tracking down the sources of experimental contamination in microbiome studies’, </w:t>
      </w:r>
      <w:r w:rsidRPr="00766EF5">
        <w:rPr>
          <w:rFonts w:cs="Times New Roman"/>
          <w:i/>
          <w:iCs/>
          <w:noProof/>
          <w:szCs w:val="24"/>
        </w:rPr>
        <w:t>Genome biology</w:t>
      </w:r>
      <w:r w:rsidRPr="00766EF5">
        <w:rPr>
          <w:rFonts w:cs="Times New Roman"/>
          <w:noProof/>
          <w:szCs w:val="24"/>
        </w:rPr>
        <w:t>. BioMed Central, 15(12), p. 564.</w:t>
      </w:r>
    </w:p>
    <w:p w14:paraId="72047FD7" w14:textId="77777777" w:rsidR="00766EF5" w:rsidRPr="00766EF5" w:rsidRDefault="00766EF5" w:rsidP="00766EF5">
      <w:pPr>
        <w:widowControl w:val="0"/>
        <w:autoSpaceDE w:val="0"/>
        <w:autoSpaceDN w:val="0"/>
        <w:adjustRightInd w:val="0"/>
        <w:rPr>
          <w:rFonts w:cs="Times New Roman"/>
          <w:noProof/>
        </w:rPr>
      </w:pPr>
      <w:r w:rsidRPr="00766EF5">
        <w:rPr>
          <w:rFonts w:cs="Times New Roman"/>
          <w:noProof/>
          <w:szCs w:val="24"/>
        </w:rPr>
        <w:t xml:space="preserve">Wood, D. E., Lu, J. and Langmead, B. (2019) ‘Improved metagenomic analysis with Kraken 2’, </w:t>
      </w:r>
      <w:r w:rsidRPr="00766EF5">
        <w:rPr>
          <w:rFonts w:cs="Times New Roman"/>
          <w:i/>
          <w:iCs/>
          <w:noProof/>
          <w:szCs w:val="24"/>
        </w:rPr>
        <w:t>Genome biology</w:t>
      </w:r>
      <w:r w:rsidRPr="00766EF5">
        <w:rPr>
          <w:rFonts w:cs="Times New Roman"/>
          <w:noProof/>
          <w:szCs w:val="24"/>
        </w:rPr>
        <w:t>. Springer, 20(1), p. 257.</w:t>
      </w:r>
    </w:p>
    <w:p w14:paraId="75658A0B" w14:textId="07A83452" w:rsidR="00BC2AC9" w:rsidRDefault="00BC2AC9" w:rsidP="00C91B44">
      <w:pPr>
        <w:rPr>
          <w:sz w:val="28"/>
          <w:szCs w:val="28"/>
        </w:rPr>
      </w:pPr>
      <w:r>
        <w:fldChar w:fldCharType="end"/>
      </w:r>
    </w:p>
    <w:p w14:paraId="2016C0F5" w14:textId="77777777" w:rsidR="007A101D" w:rsidRDefault="007A101D"/>
    <w:sectPr w:rsidR="007A101D" w:rsidSect="00BC2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w:panose1 w:val="00000000000000000000"/>
    <w:charset w:val="00"/>
    <w:family w:val="roman"/>
    <w:notTrueType/>
    <w:pitch w:val="default"/>
  </w:font>
  <w:font w:name="Lohit Devanagari">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702"/>
    <w:multiLevelType w:val="hybridMultilevel"/>
    <w:tmpl w:val="DD1C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AC9"/>
    <w:rsid w:val="00000C8F"/>
    <w:rsid w:val="00005B1D"/>
    <w:rsid w:val="00010747"/>
    <w:rsid w:val="000124B7"/>
    <w:rsid w:val="00016ADE"/>
    <w:rsid w:val="00016E39"/>
    <w:rsid w:val="00031ADE"/>
    <w:rsid w:val="00033D34"/>
    <w:rsid w:val="00035E90"/>
    <w:rsid w:val="0004164B"/>
    <w:rsid w:val="000439B1"/>
    <w:rsid w:val="00045AC8"/>
    <w:rsid w:val="00053799"/>
    <w:rsid w:val="00055333"/>
    <w:rsid w:val="000652E6"/>
    <w:rsid w:val="0007277C"/>
    <w:rsid w:val="000757E0"/>
    <w:rsid w:val="00082239"/>
    <w:rsid w:val="00083392"/>
    <w:rsid w:val="00083A1C"/>
    <w:rsid w:val="00091551"/>
    <w:rsid w:val="00091BA5"/>
    <w:rsid w:val="0009383A"/>
    <w:rsid w:val="0009580F"/>
    <w:rsid w:val="000A7306"/>
    <w:rsid w:val="000B1C7A"/>
    <w:rsid w:val="000B425B"/>
    <w:rsid w:val="000B52B6"/>
    <w:rsid w:val="000C6B1E"/>
    <w:rsid w:val="000C6C07"/>
    <w:rsid w:val="000C7251"/>
    <w:rsid w:val="000D09F5"/>
    <w:rsid w:val="000D0A89"/>
    <w:rsid w:val="000D41B4"/>
    <w:rsid w:val="000D7843"/>
    <w:rsid w:val="000E0C0E"/>
    <w:rsid w:val="000E3E93"/>
    <w:rsid w:val="000E5526"/>
    <w:rsid w:val="000F2787"/>
    <w:rsid w:val="000F67E5"/>
    <w:rsid w:val="00105DD9"/>
    <w:rsid w:val="00113DB9"/>
    <w:rsid w:val="00117A32"/>
    <w:rsid w:val="00120410"/>
    <w:rsid w:val="00131DFB"/>
    <w:rsid w:val="00136C83"/>
    <w:rsid w:val="001459E7"/>
    <w:rsid w:val="001460BD"/>
    <w:rsid w:val="0015670C"/>
    <w:rsid w:val="00165E5B"/>
    <w:rsid w:val="001722BA"/>
    <w:rsid w:val="00177635"/>
    <w:rsid w:val="0018192E"/>
    <w:rsid w:val="001834F8"/>
    <w:rsid w:val="0018748E"/>
    <w:rsid w:val="001903E6"/>
    <w:rsid w:val="00192A6C"/>
    <w:rsid w:val="001932A1"/>
    <w:rsid w:val="00194AD5"/>
    <w:rsid w:val="00196E25"/>
    <w:rsid w:val="001A572B"/>
    <w:rsid w:val="001C476C"/>
    <w:rsid w:val="001C5CB7"/>
    <w:rsid w:val="001D421C"/>
    <w:rsid w:val="001D4937"/>
    <w:rsid w:val="001D4EBF"/>
    <w:rsid w:val="001E1018"/>
    <w:rsid w:val="001E7FEA"/>
    <w:rsid w:val="001F51A2"/>
    <w:rsid w:val="001F572A"/>
    <w:rsid w:val="001F6FC6"/>
    <w:rsid w:val="001F7DD1"/>
    <w:rsid w:val="00200101"/>
    <w:rsid w:val="002014AD"/>
    <w:rsid w:val="0020696E"/>
    <w:rsid w:val="00210BBF"/>
    <w:rsid w:val="002123DE"/>
    <w:rsid w:val="002131BE"/>
    <w:rsid w:val="00213773"/>
    <w:rsid w:val="00216E23"/>
    <w:rsid w:val="00220967"/>
    <w:rsid w:val="00221699"/>
    <w:rsid w:val="00221AD1"/>
    <w:rsid w:val="00222200"/>
    <w:rsid w:val="00224BCA"/>
    <w:rsid w:val="00230A0D"/>
    <w:rsid w:val="002332BC"/>
    <w:rsid w:val="0025066F"/>
    <w:rsid w:val="0026480B"/>
    <w:rsid w:val="002665B9"/>
    <w:rsid w:val="00267882"/>
    <w:rsid w:val="00267B58"/>
    <w:rsid w:val="00270F92"/>
    <w:rsid w:val="00272FA9"/>
    <w:rsid w:val="00275250"/>
    <w:rsid w:val="00282A30"/>
    <w:rsid w:val="00286CF0"/>
    <w:rsid w:val="00295692"/>
    <w:rsid w:val="0029580E"/>
    <w:rsid w:val="00295928"/>
    <w:rsid w:val="00296514"/>
    <w:rsid w:val="002A292C"/>
    <w:rsid w:val="002B0999"/>
    <w:rsid w:val="002B6E55"/>
    <w:rsid w:val="002B79B3"/>
    <w:rsid w:val="002B7B10"/>
    <w:rsid w:val="002C2090"/>
    <w:rsid w:val="002C4608"/>
    <w:rsid w:val="002C657F"/>
    <w:rsid w:val="002D276E"/>
    <w:rsid w:val="002F1C34"/>
    <w:rsid w:val="002F33A7"/>
    <w:rsid w:val="0030454D"/>
    <w:rsid w:val="00314D93"/>
    <w:rsid w:val="00314FAE"/>
    <w:rsid w:val="00316E2A"/>
    <w:rsid w:val="0032048C"/>
    <w:rsid w:val="00322E0B"/>
    <w:rsid w:val="00325F15"/>
    <w:rsid w:val="0033166C"/>
    <w:rsid w:val="00331BF2"/>
    <w:rsid w:val="00341C8B"/>
    <w:rsid w:val="0034221D"/>
    <w:rsid w:val="00342830"/>
    <w:rsid w:val="003459BB"/>
    <w:rsid w:val="003533EB"/>
    <w:rsid w:val="00353D57"/>
    <w:rsid w:val="0035420A"/>
    <w:rsid w:val="00360EC0"/>
    <w:rsid w:val="003672EB"/>
    <w:rsid w:val="00371D2A"/>
    <w:rsid w:val="00374042"/>
    <w:rsid w:val="00382D9E"/>
    <w:rsid w:val="00384686"/>
    <w:rsid w:val="00386328"/>
    <w:rsid w:val="003A14AE"/>
    <w:rsid w:val="003A36A1"/>
    <w:rsid w:val="003A5F74"/>
    <w:rsid w:val="003A6B5E"/>
    <w:rsid w:val="003B6614"/>
    <w:rsid w:val="003B6FD2"/>
    <w:rsid w:val="003C15CF"/>
    <w:rsid w:val="003C79D3"/>
    <w:rsid w:val="003D724D"/>
    <w:rsid w:val="003D7C0B"/>
    <w:rsid w:val="003E6736"/>
    <w:rsid w:val="003E7870"/>
    <w:rsid w:val="003F165C"/>
    <w:rsid w:val="003F5543"/>
    <w:rsid w:val="003F7232"/>
    <w:rsid w:val="003F7B54"/>
    <w:rsid w:val="003F7C65"/>
    <w:rsid w:val="00401440"/>
    <w:rsid w:val="00404AC7"/>
    <w:rsid w:val="0040547D"/>
    <w:rsid w:val="004057AA"/>
    <w:rsid w:val="00405C71"/>
    <w:rsid w:val="004109C5"/>
    <w:rsid w:val="0041261F"/>
    <w:rsid w:val="004136A7"/>
    <w:rsid w:val="004169D0"/>
    <w:rsid w:val="0042552F"/>
    <w:rsid w:val="00425991"/>
    <w:rsid w:val="00427821"/>
    <w:rsid w:val="004319E9"/>
    <w:rsid w:val="00436127"/>
    <w:rsid w:val="00437B36"/>
    <w:rsid w:val="00441173"/>
    <w:rsid w:val="00444A26"/>
    <w:rsid w:val="00444E3F"/>
    <w:rsid w:val="00444EE3"/>
    <w:rsid w:val="0044699E"/>
    <w:rsid w:val="00447E8E"/>
    <w:rsid w:val="00456B98"/>
    <w:rsid w:val="0046401B"/>
    <w:rsid w:val="00465C08"/>
    <w:rsid w:val="0047173E"/>
    <w:rsid w:val="00480FD9"/>
    <w:rsid w:val="0048216A"/>
    <w:rsid w:val="00483DFC"/>
    <w:rsid w:val="004843FD"/>
    <w:rsid w:val="00485EC6"/>
    <w:rsid w:val="00485FAE"/>
    <w:rsid w:val="004926C5"/>
    <w:rsid w:val="0049478E"/>
    <w:rsid w:val="004A0520"/>
    <w:rsid w:val="004A15A1"/>
    <w:rsid w:val="004A1C2D"/>
    <w:rsid w:val="004A52BD"/>
    <w:rsid w:val="004C748B"/>
    <w:rsid w:val="004D0360"/>
    <w:rsid w:val="004D34D8"/>
    <w:rsid w:val="004E2AEF"/>
    <w:rsid w:val="004E3E35"/>
    <w:rsid w:val="004E4E03"/>
    <w:rsid w:val="004E7D1D"/>
    <w:rsid w:val="004F043E"/>
    <w:rsid w:val="004F1381"/>
    <w:rsid w:val="004F3BFC"/>
    <w:rsid w:val="004F4C94"/>
    <w:rsid w:val="004F5633"/>
    <w:rsid w:val="004F63A3"/>
    <w:rsid w:val="00507631"/>
    <w:rsid w:val="005154FD"/>
    <w:rsid w:val="005161DC"/>
    <w:rsid w:val="005162A4"/>
    <w:rsid w:val="0051722E"/>
    <w:rsid w:val="0052261D"/>
    <w:rsid w:val="00523816"/>
    <w:rsid w:val="005325DB"/>
    <w:rsid w:val="00533610"/>
    <w:rsid w:val="00535432"/>
    <w:rsid w:val="0054185E"/>
    <w:rsid w:val="0054241E"/>
    <w:rsid w:val="00542DE6"/>
    <w:rsid w:val="0054410C"/>
    <w:rsid w:val="00545AA9"/>
    <w:rsid w:val="005468E7"/>
    <w:rsid w:val="00551668"/>
    <w:rsid w:val="00554B85"/>
    <w:rsid w:val="0055764D"/>
    <w:rsid w:val="005678E0"/>
    <w:rsid w:val="0057174B"/>
    <w:rsid w:val="00576BB5"/>
    <w:rsid w:val="00585DF8"/>
    <w:rsid w:val="00590FC9"/>
    <w:rsid w:val="00594158"/>
    <w:rsid w:val="00595D08"/>
    <w:rsid w:val="005A40B2"/>
    <w:rsid w:val="005B1077"/>
    <w:rsid w:val="005B23CA"/>
    <w:rsid w:val="005B33AB"/>
    <w:rsid w:val="005B4D36"/>
    <w:rsid w:val="005C0301"/>
    <w:rsid w:val="005C0DD3"/>
    <w:rsid w:val="005D473A"/>
    <w:rsid w:val="005D5247"/>
    <w:rsid w:val="005E7C09"/>
    <w:rsid w:val="006030D0"/>
    <w:rsid w:val="0060459C"/>
    <w:rsid w:val="00604853"/>
    <w:rsid w:val="00604976"/>
    <w:rsid w:val="00607073"/>
    <w:rsid w:val="00607BD7"/>
    <w:rsid w:val="00610210"/>
    <w:rsid w:val="0061572E"/>
    <w:rsid w:val="00620DDD"/>
    <w:rsid w:val="00622F2C"/>
    <w:rsid w:val="0063201E"/>
    <w:rsid w:val="00640F86"/>
    <w:rsid w:val="00641296"/>
    <w:rsid w:val="00642A4E"/>
    <w:rsid w:val="006465F0"/>
    <w:rsid w:val="00651B31"/>
    <w:rsid w:val="00655EB8"/>
    <w:rsid w:val="00664593"/>
    <w:rsid w:val="00665524"/>
    <w:rsid w:val="0067490C"/>
    <w:rsid w:val="006810EF"/>
    <w:rsid w:val="00691110"/>
    <w:rsid w:val="006946AE"/>
    <w:rsid w:val="006A1DD6"/>
    <w:rsid w:val="006A4724"/>
    <w:rsid w:val="006C02B7"/>
    <w:rsid w:val="006C4DFD"/>
    <w:rsid w:val="006C6693"/>
    <w:rsid w:val="006C7246"/>
    <w:rsid w:val="006C7B8B"/>
    <w:rsid w:val="006C7C22"/>
    <w:rsid w:val="006D0CE9"/>
    <w:rsid w:val="006D2117"/>
    <w:rsid w:val="006D386A"/>
    <w:rsid w:val="006D4A7B"/>
    <w:rsid w:val="006D7B94"/>
    <w:rsid w:val="006E0955"/>
    <w:rsid w:val="006E7F3F"/>
    <w:rsid w:val="006F069F"/>
    <w:rsid w:val="006F1AB1"/>
    <w:rsid w:val="006F7CB8"/>
    <w:rsid w:val="00701657"/>
    <w:rsid w:val="00717A32"/>
    <w:rsid w:val="00723757"/>
    <w:rsid w:val="00726372"/>
    <w:rsid w:val="00726E50"/>
    <w:rsid w:val="00735A2D"/>
    <w:rsid w:val="00735BEA"/>
    <w:rsid w:val="00737DDF"/>
    <w:rsid w:val="007418EF"/>
    <w:rsid w:val="00747E63"/>
    <w:rsid w:val="00760737"/>
    <w:rsid w:val="00764B5A"/>
    <w:rsid w:val="007656A3"/>
    <w:rsid w:val="00765E2C"/>
    <w:rsid w:val="00765F48"/>
    <w:rsid w:val="00766EF5"/>
    <w:rsid w:val="00767B01"/>
    <w:rsid w:val="007710CA"/>
    <w:rsid w:val="00772E14"/>
    <w:rsid w:val="00776C6E"/>
    <w:rsid w:val="00782EC9"/>
    <w:rsid w:val="007853CC"/>
    <w:rsid w:val="007901F0"/>
    <w:rsid w:val="007934C0"/>
    <w:rsid w:val="007943EC"/>
    <w:rsid w:val="00794544"/>
    <w:rsid w:val="007A101D"/>
    <w:rsid w:val="007B23C0"/>
    <w:rsid w:val="007B6D94"/>
    <w:rsid w:val="007C5CDC"/>
    <w:rsid w:val="007C70D2"/>
    <w:rsid w:val="007D0F76"/>
    <w:rsid w:val="007D1673"/>
    <w:rsid w:val="007D35C3"/>
    <w:rsid w:val="007E051D"/>
    <w:rsid w:val="007E191F"/>
    <w:rsid w:val="007E4E32"/>
    <w:rsid w:val="007E515E"/>
    <w:rsid w:val="007F0390"/>
    <w:rsid w:val="007F0B09"/>
    <w:rsid w:val="007F4C23"/>
    <w:rsid w:val="008028EB"/>
    <w:rsid w:val="008135C2"/>
    <w:rsid w:val="008136E1"/>
    <w:rsid w:val="008155BE"/>
    <w:rsid w:val="00822C37"/>
    <w:rsid w:val="00824461"/>
    <w:rsid w:val="00830928"/>
    <w:rsid w:val="00834ABF"/>
    <w:rsid w:val="00835D02"/>
    <w:rsid w:val="00837D76"/>
    <w:rsid w:val="00842020"/>
    <w:rsid w:val="0084732D"/>
    <w:rsid w:val="00853CCF"/>
    <w:rsid w:val="00855438"/>
    <w:rsid w:val="00860D9C"/>
    <w:rsid w:val="0087367B"/>
    <w:rsid w:val="00886B41"/>
    <w:rsid w:val="00887D50"/>
    <w:rsid w:val="00892A09"/>
    <w:rsid w:val="008935E4"/>
    <w:rsid w:val="00895E8D"/>
    <w:rsid w:val="008966F2"/>
    <w:rsid w:val="008B14B2"/>
    <w:rsid w:val="008B14DE"/>
    <w:rsid w:val="008B1AD9"/>
    <w:rsid w:val="008B3197"/>
    <w:rsid w:val="008B4C8C"/>
    <w:rsid w:val="008C115F"/>
    <w:rsid w:val="008C234C"/>
    <w:rsid w:val="008C6F6F"/>
    <w:rsid w:val="008D55C0"/>
    <w:rsid w:val="008D5BF0"/>
    <w:rsid w:val="008E5CE3"/>
    <w:rsid w:val="008E74D1"/>
    <w:rsid w:val="00901990"/>
    <w:rsid w:val="00906F2E"/>
    <w:rsid w:val="00907F8F"/>
    <w:rsid w:val="00913211"/>
    <w:rsid w:val="009172D7"/>
    <w:rsid w:val="009255B5"/>
    <w:rsid w:val="00937B83"/>
    <w:rsid w:val="00941E2C"/>
    <w:rsid w:val="009422B2"/>
    <w:rsid w:val="00952BAE"/>
    <w:rsid w:val="00955CCC"/>
    <w:rsid w:val="009577D9"/>
    <w:rsid w:val="00960454"/>
    <w:rsid w:val="00962C1D"/>
    <w:rsid w:val="00965662"/>
    <w:rsid w:val="00971B23"/>
    <w:rsid w:val="00973D84"/>
    <w:rsid w:val="00974F0B"/>
    <w:rsid w:val="009809EC"/>
    <w:rsid w:val="00990729"/>
    <w:rsid w:val="0099093D"/>
    <w:rsid w:val="0099602C"/>
    <w:rsid w:val="0099682E"/>
    <w:rsid w:val="009A1D09"/>
    <w:rsid w:val="009A2F9A"/>
    <w:rsid w:val="009A6672"/>
    <w:rsid w:val="009A6D27"/>
    <w:rsid w:val="009B6496"/>
    <w:rsid w:val="009C1E47"/>
    <w:rsid w:val="009D22B9"/>
    <w:rsid w:val="009D4340"/>
    <w:rsid w:val="009E0AC7"/>
    <w:rsid w:val="009F30CA"/>
    <w:rsid w:val="009F690E"/>
    <w:rsid w:val="00A01F3B"/>
    <w:rsid w:val="00A15B07"/>
    <w:rsid w:val="00A166AF"/>
    <w:rsid w:val="00A215F9"/>
    <w:rsid w:val="00A2315B"/>
    <w:rsid w:val="00A265C0"/>
    <w:rsid w:val="00A306CA"/>
    <w:rsid w:val="00A30795"/>
    <w:rsid w:val="00A31D76"/>
    <w:rsid w:val="00A42BF8"/>
    <w:rsid w:val="00A46FE4"/>
    <w:rsid w:val="00A56C4E"/>
    <w:rsid w:val="00A571BB"/>
    <w:rsid w:val="00A573C0"/>
    <w:rsid w:val="00A6677E"/>
    <w:rsid w:val="00A70FA2"/>
    <w:rsid w:val="00A80DBA"/>
    <w:rsid w:val="00A81C02"/>
    <w:rsid w:val="00A8525E"/>
    <w:rsid w:val="00AA5F8A"/>
    <w:rsid w:val="00AB2216"/>
    <w:rsid w:val="00AC4747"/>
    <w:rsid w:val="00AC4D31"/>
    <w:rsid w:val="00AC512B"/>
    <w:rsid w:val="00AE0849"/>
    <w:rsid w:val="00AE0FE8"/>
    <w:rsid w:val="00AE18DA"/>
    <w:rsid w:val="00AE61BE"/>
    <w:rsid w:val="00AF5DB6"/>
    <w:rsid w:val="00AF609A"/>
    <w:rsid w:val="00AF7E98"/>
    <w:rsid w:val="00B124F7"/>
    <w:rsid w:val="00B1317C"/>
    <w:rsid w:val="00B232DD"/>
    <w:rsid w:val="00B27100"/>
    <w:rsid w:val="00B27480"/>
    <w:rsid w:val="00B44858"/>
    <w:rsid w:val="00B44867"/>
    <w:rsid w:val="00B44C4F"/>
    <w:rsid w:val="00B4568F"/>
    <w:rsid w:val="00B516A4"/>
    <w:rsid w:val="00B5170C"/>
    <w:rsid w:val="00B52982"/>
    <w:rsid w:val="00B62E49"/>
    <w:rsid w:val="00B63DD5"/>
    <w:rsid w:val="00B64335"/>
    <w:rsid w:val="00B64D4D"/>
    <w:rsid w:val="00B74A6F"/>
    <w:rsid w:val="00B771A0"/>
    <w:rsid w:val="00B83B6F"/>
    <w:rsid w:val="00B87BC0"/>
    <w:rsid w:val="00B94335"/>
    <w:rsid w:val="00B97119"/>
    <w:rsid w:val="00BA43C2"/>
    <w:rsid w:val="00BA7FDE"/>
    <w:rsid w:val="00BC1843"/>
    <w:rsid w:val="00BC2AC9"/>
    <w:rsid w:val="00BC52A2"/>
    <w:rsid w:val="00BD2752"/>
    <w:rsid w:val="00BE55F0"/>
    <w:rsid w:val="00BE73D0"/>
    <w:rsid w:val="00C16C50"/>
    <w:rsid w:val="00C16FED"/>
    <w:rsid w:val="00C17E96"/>
    <w:rsid w:val="00C20869"/>
    <w:rsid w:val="00C217C3"/>
    <w:rsid w:val="00C26495"/>
    <w:rsid w:val="00C27A2E"/>
    <w:rsid w:val="00C32264"/>
    <w:rsid w:val="00C5219A"/>
    <w:rsid w:val="00C55EC6"/>
    <w:rsid w:val="00C638E1"/>
    <w:rsid w:val="00C66E11"/>
    <w:rsid w:val="00C70EFF"/>
    <w:rsid w:val="00C72EEC"/>
    <w:rsid w:val="00C746DE"/>
    <w:rsid w:val="00C74871"/>
    <w:rsid w:val="00C77229"/>
    <w:rsid w:val="00C80A5C"/>
    <w:rsid w:val="00C84B4C"/>
    <w:rsid w:val="00C87EBE"/>
    <w:rsid w:val="00C91B44"/>
    <w:rsid w:val="00C92D45"/>
    <w:rsid w:val="00C93961"/>
    <w:rsid w:val="00C9569A"/>
    <w:rsid w:val="00C9620F"/>
    <w:rsid w:val="00CA190A"/>
    <w:rsid w:val="00CA27B9"/>
    <w:rsid w:val="00CB525C"/>
    <w:rsid w:val="00CB603D"/>
    <w:rsid w:val="00CC4E38"/>
    <w:rsid w:val="00CC5658"/>
    <w:rsid w:val="00CD2222"/>
    <w:rsid w:val="00CD5E25"/>
    <w:rsid w:val="00CD5ED5"/>
    <w:rsid w:val="00CD6641"/>
    <w:rsid w:val="00CE17CA"/>
    <w:rsid w:val="00CE6AC5"/>
    <w:rsid w:val="00CE7FE6"/>
    <w:rsid w:val="00CF3274"/>
    <w:rsid w:val="00CF43E1"/>
    <w:rsid w:val="00CF7762"/>
    <w:rsid w:val="00D0339C"/>
    <w:rsid w:val="00D04D60"/>
    <w:rsid w:val="00D05B71"/>
    <w:rsid w:val="00D1385C"/>
    <w:rsid w:val="00D14A74"/>
    <w:rsid w:val="00D16C5D"/>
    <w:rsid w:val="00D177BD"/>
    <w:rsid w:val="00D21410"/>
    <w:rsid w:val="00D21D6A"/>
    <w:rsid w:val="00D25F22"/>
    <w:rsid w:val="00D26F05"/>
    <w:rsid w:val="00D30836"/>
    <w:rsid w:val="00D36DD4"/>
    <w:rsid w:val="00D41C2C"/>
    <w:rsid w:val="00D41ED4"/>
    <w:rsid w:val="00D44BA8"/>
    <w:rsid w:val="00D46F3B"/>
    <w:rsid w:val="00D5189D"/>
    <w:rsid w:val="00D5636F"/>
    <w:rsid w:val="00D56D68"/>
    <w:rsid w:val="00D66AF7"/>
    <w:rsid w:val="00D7302C"/>
    <w:rsid w:val="00D74E06"/>
    <w:rsid w:val="00D77212"/>
    <w:rsid w:val="00D81103"/>
    <w:rsid w:val="00D8126E"/>
    <w:rsid w:val="00D84081"/>
    <w:rsid w:val="00D879BD"/>
    <w:rsid w:val="00DA32AF"/>
    <w:rsid w:val="00DB24C1"/>
    <w:rsid w:val="00DB5450"/>
    <w:rsid w:val="00DC4014"/>
    <w:rsid w:val="00DD2297"/>
    <w:rsid w:val="00DD50FD"/>
    <w:rsid w:val="00DD6230"/>
    <w:rsid w:val="00DD7F19"/>
    <w:rsid w:val="00DF221B"/>
    <w:rsid w:val="00E0041A"/>
    <w:rsid w:val="00E01F09"/>
    <w:rsid w:val="00E066B1"/>
    <w:rsid w:val="00E1731F"/>
    <w:rsid w:val="00E259E3"/>
    <w:rsid w:val="00E2652A"/>
    <w:rsid w:val="00E26570"/>
    <w:rsid w:val="00E3210C"/>
    <w:rsid w:val="00E3236C"/>
    <w:rsid w:val="00E36624"/>
    <w:rsid w:val="00E378C0"/>
    <w:rsid w:val="00E42DA4"/>
    <w:rsid w:val="00E45530"/>
    <w:rsid w:val="00E45DF6"/>
    <w:rsid w:val="00E46C37"/>
    <w:rsid w:val="00E5075B"/>
    <w:rsid w:val="00E57695"/>
    <w:rsid w:val="00E6050A"/>
    <w:rsid w:val="00E64B34"/>
    <w:rsid w:val="00E6629B"/>
    <w:rsid w:val="00E7364B"/>
    <w:rsid w:val="00E738C4"/>
    <w:rsid w:val="00E85520"/>
    <w:rsid w:val="00E8562C"/>
    <w:rsid w:val="00E86B9D"/>
    <w:rsid w:val="00E90653"/>
    <w:rsid w:val="00E90E49"/>
    <w:rsid w:val="00E94B77"/>
    <w:rsid w:val="00E96EF0"/>
    <w:rsid w:val="00EA26D5"/>
    <w:rsid w:val="00EA29A1"/>
    <w:rsid w:val="00EB279F"/>
    <w:rsid w:val="00EC03A8"/>
    <w:rsid w:val="00EC12A2"/>
    <w:rsid w:val="00EC55DE"/>
    <w:rsid w:val="00EC6D90"/>
    <w:rsid w:val="00ED2D54"/>
    <w:rsid w:val="00ED3DEF"/>
    <w:rsid w:val="00ED4896"/>
    <w:rsid w:val="00EE177B"/>
    <w:rsid w:val="00F00F3A"/>
    <w:rsid w:val="00F0235E"/>
    <w:rsid w:val="00F127A7"/>
    <w:rsid w:val="00F23970"/>
    <w:rsid w:val="00F2668D"/>
    <w:rsid w:val="00F50255"/>
    <w:rsid w:val="00F527EA"/>
    <w:rsid w:val="00F5754D"/>
    <w:rsid w:val="00F577DE"/>
    <w:rsid w:val="00F600CC"/>
    <w:rsid w:val="00F61004"/>
    <w:rsid w:val="00F6417A"/>
    <w:rsid w:val="00F6581E"/>
    <w:rsid w:val="00F66D4D"/>
    <w:rsid w:val="00F66E1E"/>
    <w:rsid w:val="00F6703B"/>
    <w:rsid w:val="00F77848"/>
    <w:rsid w:val="00F81811"/>
    <w:rsid w:val="00F951C1"/>
    <w:rsid w:val="00F965F4"/>
    <w:rsid w:val="00FB14BB"/>
    <w:rsid w:val="00FB7725"/>
    <w:rsid w:val="00FC500E"/>
    <w:rsid w:val="00FC5DD1"/>
    <w:rsid w:val="00FE5BEA"/>
    <w:rsid w:val="00FF7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AF56D"/>
  <w15:chartTrackingRefBased/>
  <w15:docId w15:val="{FEC62072-038A-4F7D-8934-B65F613BE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AD1"/>
    <w:pPr>
      <w:spacing w:line="360" w:lineRule="auto"/>
      <w:jc w:val="both"/>
    </w:pPr>
    <w:rPr>
      <w:rFonts w:ascii="Times New Roman" w:hAnsi="Times New Roman"/>
      <w:sz w:val="24"/>
      <w:lang w:val="en-SG"/>
    </w:rPr>
  </w:style>
  <w:style w:type="paragraph" w:styleId="Heading1">
    <w:name w:val="heading 1"/>
    <w:basedOn w:val="Normal"/>
    <w:next w:val="Normal"/>
    <w:link w:val="Heading1Char"/>
    <w:uiPriority w:val="9"/>
    <w:qFormat/>
    <w:rsid w:val="00B94335"/>
    <w:pPr>
      <w:keepNext/>
      <w:keepLines/>
      <w:spacing w:before="240" w:after="0" w:line="480" w:lineRule="auto"/>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B94335"/>
    <w:pPr>
      <w:keepNext/>
      <w:keepLines/>
      <w:spacing w:before="40" w:after="0" w:line="48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BC2AC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94335"/>
    <w:rPr>
      <w:rFonts w:ascii="Times New Roman" w:eastAsiaTheme="majorEastAsia" w:hAnsi="Times New Roman" w:cstheme="majorBidi"/>
      <w:b/>
      <w:color w:val="0070C0"/>
      <w:sz w:val="32"/>
      <w:szCs w:val="32"/>
      <w:lang w:val="en-SG"/>
    </w:rPr>
  </w:style>
  <w:style w:type="character" w:customStyle="1" w:styleId="Heading2Char">
    <w:name w:val="Heading 2 Char"/>
    <w:basedOn w:val="DefaultParagraphFont"/>
    <w:link w:val="Heading2"/>
    <w:uiPriority w:val="9"/>
    <w:qFormat/>
    <w:rsid w:val="00B94335"/>
    <w:rPr>
      <w:rFonts w:ascii="Times New Roman" w:eastAsiaTheme="majorEastAsia" w:hAnsi="Times New Roman" w:cstheme="majorBidi"/>
      <w:b/>
      <w:color w:val="000000" w:themeColor="text1"/>
      <w:sz w:val="24"/>
      <w:szCs w:val="26"/>
      <w:lang w:val="en-SG"/>
    </w:rPr>
  </w:style>
  <w:style w:type="character" w:customStyle="1" w:styleId="Heading3Char">
    <w:name w:val="Heading 3 Char"/>
    <w:basedOn w:val="DefaultParagraphFont"/>
    <w:link w:val="Heading3"/>
    <w:uiPriority w:val="9"/>
    <w:semiHidden/>
    <w:rsid w:val="00BC2AC9"/>
    <w:rPr>
      <w:rFonts w:ascii="Times New Roman" w:eastAsiaTheme="majorEastAsia" w:hAnsi="Times New Roman" w:cstheme="majorBidi"/>
      <w:b/>
      <w:sz w:val="24"/>
      <w:szCs w:val="24"/>
      <w:lang w:val="en-SG"/>
    </w:rPr>
  </w:style>
  <w:style w:type="character" w:styleId="Hyperlink">
    <w:name w:val="Hyperlink"/>
    <w:basedOn w:val="DefaultParagraphFont"/>
    <w:uiPriority w:val="99"/>
    <w:unhideWhenUsed/>
    <w:rsid w:val="00BC2AC9"/>
    <w:rPr>
      <w:color w:val="0000FF"/>
      <w:u w:val="single"/>
    </w:rPr>
  </w:style>
  <w:style w:type="paragraph" w:styleId="BodyText">
    <w:name w:val="Body Text"/>
    <w:basedOn w:val="Normal"/>
    <w:link w:val="BodyTextChar"/>
    <w:semiHidden/>
    <w:unhideWhenUsed/>
    <w:rsid w:val="00BC2AC9"/>
    <w:pPr>
      <w:spacing w:after="140" w:line="276" w:lineRule="auto"/>
    </w:pPr>
  </w:style>
  <w:style w:type="character" w:customStyle="1" w:styleId="BodyTextChar">
    <w:name w:val="Body Text Char"/>
    <w:basedOn w:val="DefaultParagraphFont"/>
    <w:link w:val="BodyText"/>
    <w:semiHidden/>
    <w:rsid w:val="00BC2AC9"/>
    <w:rPr>
      <w:lang w:val="en-SG"/>
    </w:rPr>
  </w:style>
  <w:style w:type="paragraph" w:customStyle="1" w:styleId="Heading">
    <w:name w:val="Heading"/>
    <w:basedOn w:val="Normal"/>
    <w:next w:val="BodyText"/>
    <w:qFormat/>
    <w:rsid w:val="00BC2AC9"/>
    <w:pPr>
      <w:keepNext/>
      <w:spacing w:before="240" w:after="120"/>
    </w:pPr>
    <w:rPr>
      <w:rFonts w:eastAsia="Noto Sans CJK SC" w:cs="Lohit Devanagari"/>
      <w:b/>
      <w:sz w:val="28"/>
      <w:szCs w:val="28"/>
    </w:rPr>
  </w:style>
  <w:style w:type="character" w:styleId="LineNumber">
    <w:name w:val="line number"/>
    <w:basedOn w:val="DefaultParagraphFont"/>
    <w:uiPriority w:val="99"/>
    <w:semiHidden/>
    <w:unhideWhenUsed/>
    <w:rsid w:val="00BC2AC9"/>
  </w:style>
  <w:style w:type="paragraph" w:styleId="ListParagraph">
    <w:name w:val="List Paragraph"/>
    <w:basedOn w:val="Normal"/>
    <w:uiPriority w:val="34"/>
    <w:qFormat/>
    <w:rsid w:val="007E051D"/>
    <w:pPr>
      <w:ind w:left="720"/>
      <w:contextualSpacing/>
    </w:pPr>
  </w:style>
  <w:style w:type="character" w:styleId="PlaceholderText">
    <w:name w:val="Placeholder Text"/>
    <w:basedOn w:val="DefaultParagraphFont"/>
    <w:uiPriority w:val="99"/>
    <w:semiHidden/>
    <w:rsid w:val="00D21D6A"/>
    <w:rPr>
      <w:color w:val="808080"/>
    </w:rPr>
  </w:style>
  <w:style w:type="character" w:styleId="UnresolvedMention">
    <w:name w:val="Unresolved Mention"/>
    <w:basedOn w:val="DefaultParagraphFont"/>
    <w:uiPriority w:val="99"/>
    <w:semiHidden/>
    <w:unhideWhenUsed/>
    <w:rsid w:val="00764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82560">
      <w:bodyDiv w:val="1"/>
      <w:marLeft w:val="0"/>
      <w:marRight w:val="0"/>
      <w:marTop w:val="0"/>
      <w:marBottom w:val="0"/>
      <w:divBdr>
        <w:top w:val="none" w:sz="0" w:space="0" w:color="auto"/>
        <w:left w:val="none" w:sz="0" w:space="0" w:color="auto"/>
        <w:bottom w:val="none" w:sz="0" w:space="0" w:color="auto"/>
        <w:right w:val="none" w:sz="0" w:space="0" w:color="auto"/>
      </w:divBdr>
      <w:divsChild>
        <w:div w:id="1176963263">
          <w:marLeft w:val="0"/>
          <w:marRight w:val="0"/>
          <w:marTop w:val="332"/>
          <w:marBottom w:val="332"/>
          <w:divBdr>
            <w:top w:val="single" w:sz="6" w:space="17" w:color="EAC3AF"/>
            <w:left w:val="single" w:sz="6" w:space="17" w:color="EAC3AF"/>
            <w:bottom w:val="single" w:sz="6" w:space="17" w:color="EAC3AF"/>
            <w:right w:val="single" w:sz="6" w:space="17" w:color="EAC3AF"/>
          </w:divBdr>
        </w:div>
      </w:divsChild>
    </w:div>
    <w:div w:id="750275234">
      <w:bodyDiv w:val="1"/>
      <w:marLeft w:val="0"/>
      <w:marRight w:val="0"/>
      <w:marTop w:val="0"/>
      <w:marBottom w:val="0"/>
      <w:divBdr>
        <w:top w:val="none" w:sz="0" w:space="0" w:color="auto"/>
        <w:left w:val="none" w:sz="0" w:space="0" w:color="auto"/>
        <w:bottom w:val="none" w:sz="0" w:space="0" w:color="auto"/>
        <w:right w:val="none" w:sz="0" w:space="0" w:color="auto"/>
      </w:divBdr>
    </w:div>
    <w:div w:id="822085601">
      <w:bodyDiv w:val="1"/>
      <w:marLeft w:val="0"/>
      <w:marRight w:val="0"/>
      <w:marTop w:val="0"/>
      <w:marBottom w:val="0"/>
      <w:divBdr>
        <w:top w:val="none" w:sz="0" w:space="0" w:color="auto"/>
        <w:left w:val="none" w:sz="0" w:space="0" w:color="auto"/>
        <w:bottom w:val="none" w:sz="0" w:space="0" w:color="auto"/>
        <w:right w:val="none" w:sz="0" w:space="0" w:color="auto"/>
      </w:divBdr>
    </w:div>
    <w:div w:id="1125656601">
      <w:bodyDiv w:val="1"/>
      <w:marLeft w:val="0"/>
      <w:marRight w:val="0"/>
      <w:marTop w:val="0"/>
      <w:marBottom w:val="0"/>
      <w:divBdr>
        <w:top w:val="none" w:sz="0" w:space="0" w:color="auto"/>
        <w:left w:val="none" w:sz="0" w:space="0" w:color="auto"/>
        <w:bottom w:val="none" w:sz="0" w:space="0" w:color="auto"/>
        <w:right w:val="none" w:sz="0" w:space="0" w:color="auto"/>
      </w:divBdr>
    </w:div>
    <w:div w:id="1180893808">
      <w:bodyDiv w:val="1"/>
      <w:marLeft w:val="0"/>
      <w:marRight w:val="0"/>
      <w:marTop w:val="0"/>
      <w:marBottom w:val="0"/>
      <w:divBdr>
        <w:top w:val="none" w:sz="0" w:space="0" w:color="auto"/>
        <w:left w:val="none" w:sz="0" w:space="0" w:color="auto"/>
        <w:bottom w:val="none" w:sz="0" w:space="0" w:color="auto"/>
        <w:right w:val="none" w:sz="0" w:space="0" w:color="auto"/>
      </w:divBdr>
    </w:div>
    <w:div w:id="212561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cednotsed/BIOC0023_dissertation" TargetMode="Externa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hyperlink" Target="https://tinyurl.com/ujr5j45b"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46E35-4BE3-4FA1-9686-3E0A30822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4597</TotalTime>
  <Pages>20</Pages>
  <Words>18433</Words>
  <Characters>105069</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503</cp:revision>
  <dcterms:created xsi:type="dcterms:W3CDTF">2021-04-12T02:14:00Z</dcterms:created>
  <dcterms:modified xsi:type="dcterms:W3CDTF">2021-04-22T10:31:00Z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http://csl.mendeley.com/styles/525107331/advances-in-alzheimers-disease</vt:lpwstr>
  </property>
  <property fmtid="{D5CDD505-2E9C-101B-9397-08002B2CF9AE}" pid="3" name="Mendeley Recent Style Name 0_1">
    <vt:lpwstr>Advances in Alzheimer's Disease - Cedric Tan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da318399-3ae1-3f2d-b60f-df8b7da6ff9e</vt:lpwstr>
  </property>
  <property fmtid="{D5CDD505-2E9C-101B-9397-08002B2CF9AE}" pid="24" name="Mendeley Citation Style_1">
    <vt:lpwstr>http://www.zotero.org/styles/harvard-cite-them-right</vt:lpwstr>
  </property>
</Properties>
</file>