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9E701" w14:textId="7083CBA7" w:rsidR="00BC2AC9" w:rsidRDefault="003F7B54" w:rsidP="004E4E03">
      <w:pPr>
        <w:pStyle w:val="Heading"/>
        <w:jc w:val="center"/>
        <w:rPr>
          <w:lang w:val="en-GB"/>
        </w:rPr>
      </w:pPr>
      <w:bookmarkStart w:id="0" w:name="_Hlk69298271"/>
      <w:bookmarkEnd w:id="0"/>
      <w:r>
        <w:rPr>
          <w:lang w:val="en-GB"/>
        </w:rPr>
        <w:t xml:space="preserve">Metagenomic evidence for a </w:t>
      </w:r>
      <w:r w:rsidR="00BC2AC9">
        <w:rPr>
          <w:lang w:val="en-GB"/>
        </w:rPr>
        <w:t>healthy human blood microbiome</w:t>
      </w:r>
    </w:p>
    <w:p w14:paraId="5460104A" w14:textId="77777777" w:rsidR="00BC2AC9" w:rsidRDefault="00BC2AC9" w:rsidP="00BC2AC9">
      <w:pPr>
        <w:spacing w:line="480" w:lineRule="auto"/>
        <w:rPr>
          <w:rFonts w:cs="Times New Roman"/>
          <w:b/>
          <w:sz w:val="28"/>
          <w:szCs w:val="32"/>
          <w:lang w:val="en-GB"/>
        </w:rPr>
      </w:pPr>
    </w:p>
    <w:p w14:paraId="045DDBB3" w14:textId="69AF71F5" w:rsidR="00BC2AC9" w:rsidRDefault="00BC2AC9" w:rsidP="004E4E03">
      <w:pPr>
        <w:spacing w:line="480" w:lineRule="auto"/>
        <w:jc w:val="center"/>
        <w:rPr>
          <w:rFonts w:cs="Times New Roman"/>
          <w:szCs w:val="28"/>
          <w:vertAlign w:val="superscript"/>
          <w:lang w:val="en-GB"/>
        </w:rPr>
      </w:pPr>
      <w:r>
        <w:rPr>
          <w:rFonts w:cs="Times New Roman"/>
          <w:szCs w:val="28"/>
          <w:lang w:val="en-GB"/>
        </w:rPr>
        <w:t xml:space="preserve">Cedric </w:t>
      </w:r>
      <w:r w:rsidR="006F1AB1">
        <w:rPr>
          <w:rFonts w:cs="Times New Roman"/>
          <w:szCs w:val="28"/>
          <w:lang w:val="en-GB"/>
        </w:rPr>
        <w:t>C.S.</w:t>
      </w:r>
      <w:r>
        <w:rPr>
          <w:rFonts w:cs="Times New Roman"/>
          <w:szCs w:val="28"/>
          <w:lang w:val="en-GB"/>
        </w:rPr>
        <w:t xml:space="preserve"> Tan</w:t>
      </w:r>
    </w:p>
    <w:p w14:paraId="6208723A" w14:textId="77777777" w:rsidR="004E4E03" w:rsidRDefault="00BC2AC9" w:rsidP="004E4E03">
      <w:pPr>
        <w:spacing w:line="480" w:lineRule="auto"/>
        <w:jc w:val="center"/>
        <w:rPr>
          <w:rFonts w:cs="Times New Roman"/>
          <w:szCs w:val="24"/>
          <w:lang w:val="en-GB"/>
        </w:rPr>
      </w:pPr>
      <w:r>
        <w:rPr>
          <w:rFonts w:cs="Times New Roman"/>
          <w:szCs w:val="24"/>
          <w:lang w:val="en-GB"/>
        </w:rPr>
        <w:t>Department of Structural and Molecular Biology</w:t>
      </w:r>
    </w:p>
    <w:p w14:paraId="192CF4EF" w14:textId="1AF91E34" w:rsidR="004E4E03" w:rsidRDefault="00BC2AC9" w:rsidP="004E4E03">
      <w:pPr>
        <w:spacing w:line="480" w:lineRule="auto"/>
        <w:jc w:val="center"/>
        <w:rPr>
          <w:rFonts w:cs="Times New Roman"/>
          <w:szCs w:val="24"/>
          <w:lang w:val="en-GB"/>
        </w:rPr>
      </w:pPr>
      <w:r>
        <w:rPr>
          <w:rFonts w:cs="Times New Roman"/>
          <w:szCs w:val="24"/>
          <w:lang w:val="en-GB"/>
        </w:rPr>
        <w:t>University College London</w:t>
      </w:r>
    </w:p>
    <w:p w14:paraId="0737F193" w14:textId="61807C49" w:rsidR="00BC2AC9" w:rsidRDefault="00BC2AC9" w:rsidP="004E4E03">
      <w:pPr>
        <w:spacing w:line="480" w:lineRule="auto"/>
        <w:jc w:val="center"/>
        <w:rPr>
          <w:rFonts w:cs="Times New Roman"/>
          <w:szCs w:val="24"/>
          <w:lang w:val="en-GB"/>
        </w:rPr>
      </w:pPr>
      <w:r>
        <w:rPr>
          <w:rFonts w:cs="Times New Roman"/>
          <w:szCs w:val="24"/>
          <w:lang w:val="en-GB"/>
        </w:rPr>
        <w:t>Gower Street, London, WC1E 6BT, United Kingdom</w:t>
      </w:r>
    </w:p>
    <w:p w14:paraId="3ABB64D1" w14:textId="77777777" w:rsidR="004E4E03" w:rsidRDefault="004E4E03">
      <w:pPr>
        <w:spacing w:line="259" w:lineRule="auto"/>
        <w:rPr>
          <w:rFonts w:eastAsiaTheme="majorEastAsia" w:cstheme="majorBidi"/>
          <w:b/>
          <w:sz w:val="28"/>
          <w:szCs w:val="32"/>
        </w:rPr>
      </w:pPr>
      <w:r>
        <w:br w:type="page"/>
      </w:r>
    </w:p>
    <w:p w14:paraId="7842C33C" w14:textId="77777777" w:rsidR="004E4E03" w:rsidRDefault="004E4E03" w:rsidP="00BC2AC9">
      <w:pPr>
        <w:pStyle w:val="Heading1"/>
      </w:pPr>
      <w:r>
        <w:lastRenderedPageBreak/>
        <w:t>Graphical abstract</w:t>
      </w:r>
    </w:p>
    <w:p w14:paraId="1BF6B64A" w14:textId="276B819C" w:rsidR="00AF7E98" w:rsidRDefault="004E4E03" w:rsidP="00BC2AC9">
      <w:pPr>
        <w:pStyle w:val="Heading1"/>
      </w:pPr>
      <w:r>
        <w:t>Summary</w:t>
      </w:r>
      <w:r w:rsidR="003A14AE">
        <w:t xml:space="preserve"> (150)</w:t>
      </w:r>
    </w:p>
    <w:p w14:paraId="7E15B10C" w14:textId="4BEE7D89" w:rsidR="00AF7E98" w:rsidRPr="00AF7E98" w:rsidRDefault="00E0041A" w:rsidP="00AF7E98">
      <w:pPr>
        <w:spacing w:line="259" w:lineRule="auto"/>
      </w:pPr>
      <w:r>
        <w:t>150 words</w:t>
      </w:r>
      <w:r w:rsidR="00AF7E98">
        <w:br w:type="page"/>
      </w:r>
    </w:p>
    <w:p w14:paraId="5C0F15B8" w14:textId="5B126F83" w:rsidR="00AF7E98" w:rsidRPr="00AF7E98" w:rsidRDefault="00AF7E98" w:rsidP="00AF7E98">
      <w:pPr>
        <w:pStyle w:val="Heading1"/>
      </w:pPr>
      <w:r>
        <w:lastRenderedPageBreak/>
        <w:t>Introduction</w:t>
      </w:r>
      <w:r w:rsidR="003A14AE">
        <w:t xml:space="preserve"> (553)</w:t>
      </w:r>
    </w:p>
    <w:p w14:paraId="12786C77" w14:textId="4C62E27F" w:rsidR="0041261F" w:rsidRDefault="00576BB5" w:rsidP="00D1385C">
      <w:pPr>
        <w:spacing w:line="360" w:lineRule="auto"/>
        <w:rPr>
          <w:rFonts w:cs="Times New Roman"/>
          <w:szCs w:val="24"/>
          <w:lang w:val="en-GB"/>
        </w:rPr>
      </w:pPr>
      <w:r>
        <w:rPr>
          <w:rFonts w:cs="Times New Roman"/>
          <w:szCs w:val="24"/>
          <w:lang w:val="en-GB"/>
        </w:rPr>
        <w:t xml:space="preserve">Human blood has traditionally been considered to be </w:t>
      </w:r>
      <w:r w:rsidR="006C7C22">
        <w:rPr>
          <w:rFonts w:cs="Times New Roman"/>
          <w:szCs w:val="24"/>
          <w:lang w:val="en-GB"/>
        </w:rPr>
        <w:t>sterile</w:t>
      </w:r>
      <w:r w:rsidR="0032048C">
        <w:rPr>
          <w:rFonts w:cs="Times New Roman"/>
          <w:szCs w:val="24"/>
          <w:lang w:val="en-GB"/>
        </w:rPr>
        <w:t>, where th</w:t>
      </w:r>
      <w:r w:rsidR="006C7C22">
        <w:rPr>
          <w:rFonts w:cs="Times New Roman"/>
          <w:szCs w:val="24"/>
          <w:lang w:val="en-GB"/>
        </w:rPr>
        <w:t xml:space="preserve">e occasional entry of microorganisms is believed to cause bloodstream infections </w:t>
      </w:r>
      <w:r w:rsidR="0032048C">
        <w:rPr>
          <w:rFonts w:cs="Times New Roman"/>
          <w:szCs w:val="24"/>
          <w:lang w:val="en-GB"/>
        </w:rPr>
        <w:t>(BSIs)</w:t>
      </w:r>
      <w:r w:rsidR="006E7F3F">
        <w:rPr>
          <w:rFonts w:cs="Times New Roman"/>
          <w:szCs w:val="24"/>
          <w:lang w:val="en-GB"/>
        </w:rPr>
        <w:t xml:space="preserve"> </w:t>
      </w:r>
      <w:r w:rsidR="0032048C">
        <w:rPr>
          <w:rFonts w:cs="Times New Roman"/>
          <w:szCs w:val="24"/>
          <w:lang w:val="en-GB"/>
        </w:rPr>
        <w:t xml:space="preserve">associated with high mortality and morbidity </w:t>
      </w:r>
      <w:r w:rsidR="006E7F3F">
        <w:rPr>
          <w:rFonts w:cs="Times New Roman"/>
          <w:szCs w:val="24"/>
          <w:lang w:val="en-GB"/>
        </w:rPr>
        <w:fldChar w:fldCharType="begin" w:fldLock="1"/>
      </w:r>
      <w:r w:rsidR="00AF7E98">
        <w:rPr>
          <w:rFonts w:cs="Times New Roman"/>
          <w:szCs w:val="24"/>
          <w:lang w:val="en-GB"/>
        </w:rPr>
        <w:instrText>ADDIN CSL_CITATION {"citationItems":[{"id":"ITEM-1","itemData":{"ISSN":"1198-743X","author":[{"dropping-particle":"","family":"Goto","given":"M","non-dropping-particle":"","parse-names":false,"suffix":""},{"dropping-particle":"","family":"Al-Hasan","given":"M N","non-dropping-particle":"","parse-names":false,"suffix":""}],"container-title":"Clinical Microbiology and Infection","id":"ITEM-1","issue":"6","issued":{"date-parts":[["2013"]]},"page":"501-509","publisher":"Elsevier","title":"Overall burden of bloodstream infection and nosocomial bloodstream infection in North America and Europe","type":"article-journal","volume":"19"},"uris":["http://www.mendeley.com/documents/?uuid=912939bd-a2f0-422e-bd75-f6a688f39325"]}],"mendeley":{"formattedCitation":"(Goto and Al-Hasan, 2013)","plainTextFormattedCitation":"(Goto and Al-Hasan, 2013)","previouslyFormattedCitation":"(Goto and Al-Hasan, 2013)"},"properties":{"noteIndex":0},"schema":"https://github.com/citation-style-language/schema/raw/master/csl-citation.json"}</w:instrText>
      </w:r>
      <w:r w:rsidR="006E7F3F">
        <w:rPr>
          <w:rFonts w:cs="Times New Roman"/>
          <w:szCs w:val="24"/>
          <w:lang w:val="en-GB"/>
        </w:rPr>
        <w:fldChar w:fldCharType="separate"/>
      </w:r>
      <w:r w:rsidR="006E7F3F" w:rsidRPr="006E7F3F">
        <w:rPr>
          <w:rFonts w:cs="Times New Roman"/>
          <w:noProof/>
          <w:szCs w:val="24"/>
          <w:lang w:val="en-GB"/>
        </w:rPr>
        <w:t>(Goto and Al-Hasan, 2013)</w:t>
      </w:r>
      <w:r w:rsidR="006E7F3F">
        <w:rPr>
          <w:rFonts w:cs="Times New Roman"/>
          <w:szCs w:val="24"/>
          <w:lang w:val="en-GB"/>
        </w:rPr>
        <w:fldChar w:fldCharType="end"/>
      </w:r>
      <w:r w:rsidR="0032048C">
        <w:rPr>
          <w:rFonts w:cs="Times New Roman"/>
          <w:szCs w:val="24"/>
          <w:lang w:val="en-GB"/>
        </w:rPr>
        <w:t>.</w:t>
      </w:r>
      <w:r w:rsidR="006C7C22">
        <w:rPr>
          <w:rFonts w:cs="Times New Roman"/>
          <w:szCs w:val="24"/>
          <w:lang w:val="en-GB"/>
        </w:rPr>
        <w:t xml:space="preserve"> </w:t>
      </w:r>
      <w:r w:rsidR="004F63A3">
        <w:rPr>
          <w:rFonts w:cs="Times New Roman"/>
          <w:szCs w:val="24"/>
          <w:lang w:val="en-GB"/>
        </w:rPr>
        <w:t xml:space="preserve">However, there have been an increasing number of studies </w:t>
      </w:r>
      <w:r w:rsidR="00782EC9">
        <w:rPr>
          <w:rFonts w:cs="Times New Roman"/>
          <w:szCs w:val="24"/>
          <w:lang w:val="en-GB"/>
        </w:rPr>
        <w:t>reporting</w:t>
      </w:r>
      <w:r w:rsidR="004F63A3">
        <w:rPr>
          <w:rFonts w:cs="Times New Roman"/>
          <w:szCs w:val="24"/>
          <w:lang w:val="en-GB"/>
        </w:rPr>
        <w:t xml:space="preserve"> bacterial DNA </w:t>
      </w:r>
      <w:r w:rsidR="00782EC9">
        <w:rPr>
          <w:rFonts w:cs="Times New Roman"/>
          <w:szCs w:val="24"/>
          <w:lang w:val="en-GB"/>
        </w:rPr>
        <w:t xml:space="preserve">or even culturable bacteria </w:t>
      </w:r>
      <w:r w:rsidR="004F63A3">
        <w:rPr>
          <w:rFonts w:cs="Times New Roman"/>
          <w:szCs w:val="24"/>
          <w:lang w:val="en-GB"/>
        </w:rPr>
        <w:t xml:space="preserve">in the blood of </w:t>
      </w:r>
      <w:r w:rsidR="00782EC9">
        <w:rPr>
          <w:rFonts w:cs="Times New Roman"/>
          <w:szCs w:val="24"/>
          <w:lang w:val="en-GB"/>
        </w:rPr>
        <w:t>apparently ‘</w:t>
      </w:r>
      <w:r w:rsidR="004F63A3">
        <w:rPr>
          <w:rFonts w:cs="Times New Roman"/>
          <w:szCs w:val="24"/>
          <w:lang w:val="en-GB"/>
        </w:rPr>
        <w:t>healthy</w:t>
      </w:r>
      <w:r w:rsidR="00782EC9">
        <w:rPr>
          <w:rFonts w:cs="Times New Roman"/>
          <w:szCs w:val="24"/>
          <w:lang w:val="en-GB"/>
        </w:rPr>
        <w:t>’</w:t>
      </w:r>
      <w:r w:rsidR="004F63A3">
        <w:rPr>
          <w:rFonts w:cs="Times New Roman"/>
          <w:szCs w:val="24"/>
          <w:lang w:val="en-GB"/>
        </w:rPr>
        <w:t xml:space="preserve"> </w:t>
      </w:r>
      <w:r w:rsidR="00860D9C">
        <w:rPr>
          <w:rFonts w:cs="Times New Roman"/>
          <w:szCs w:val="24"/>
          <w:lang w:val="en-GB"/>
        </w:rPr>
        <w:t>individuals</w:t>
      </w:r>
      <w:r w:rsidR="00782EC9">
        <w:rPr>
          <w:rFonts w:cs="Times New Roman"/>
          <w:szCs w:val="24"/>
          <w:lang w:val="en-GB"/>
        </w:rPr>
        <w:t xml:space="preserve"> (</w:t>
      </w:r>
      <w:r w:rsidR="00782EC9" w:rsidRPr="00782EC9">
        <w:rPr>
          <w:rFonts w:cs="Times New Roman"/>
          <w:i/>
          <w:iCs/>
          <w:szCs w:val="24"/>
          <w:lang w:val="en-GB"/>
        </w:rPr>
        <w:t>i.e.</w:t>
      </w:r>
      <w:r w:rsidR="00782EC9">
        <w:rPr>
          <w:rFonts w:cs="Times New Roman"/>
          <w:szCs w:val="24"/>
          <w:lang w:val="en-GB"/>
        </w:rPr>
        <w:t xml:space="preserve"> with no clinical symptoms of disease) </w:t>
      </w:r>
      <w:r w:rsidR="004D34D8">
        <w:rPr>
          <w:rFonts w:cs="Times New Roman"/>
          <w:szCs w:val="24"/>
          <w:lang w:val="en-GB"/>
        </w:rPr>
        <w:t xml:space="preserve">(reviewed by </w:t>
      </w:r>
      <w:r w:rsidR="00AF7E98">
        <w:rPr>
          <w:rFonts w:cs="Times New Roman"/>
          <w:szCs w:val="24"/>
          <w:lang w:val="en-GB"/>
        </w:rPr>
        <w:fldChar w:fldCharType="begin" w:fldLock="1"/>
      </w:r>
      <w:r w:rsidR="00E8562C">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AF7E98">
        <w:rPr>
          <w:rFonts w:cs="Times New Roman"/>
          <w:szCs w:val="24"/>
          <w:lang w:val="en-GB"/>
        </w:rPr>
        <w:fldChar w:fldCharType="separate"/>
      </w:r>
      <w:r w:rsidR="00AF7E98" w:rsidRPr="00AF7E98">
        <w:rPr>
          <w:rFonts w:cs="Times New Roman"/>
          <w:noProof/>
          <w:szCs w:val="24"/>
          <w:lang w:val="en-GB"/>
        </w:rPr>
        <w:t xml:space="preserve">Castillo </w:t>
      </w:r>
      <w:r w:rsidR="00AF7E98" w:rsidRPr="00AF7E98">
        <w:rPr>
          <w:rFonts w:cs="Times New Roman"/>
          <w:i/>
          <w:noProof/>
          <w:szCs w:val="24"/>
          <w:lang w:val="en-GB"/>
        </w:rPr>
        <w:t>et al.</w:t>
      </w:r>
      <w:r w:rsidR="00AF7E98" w:rsidRPr="00AF7E98">
        <w:rPr>
          <w:rFonts w:cs="Times New Roman"/>
          <w:noProof/>
          <w:szCs w:val="24"/>
          <w:lang w:val="en-GB"/>
        </w:rPr>
        <w:t xml:space="preserve"> </w:t>
      </w:r>
      <w:r w:rsidR="004D34D8">
        <w:rPr>
          <w:rFonts w:cs="Times New Roman"/>
          <w:noProof/>
          <w:szCs w:val="24"/>
          <w:lang w:val="en-GB"/>
        </w:rPr>
        <w:t>(</w:t>
      </w:r>
      <w:r w:rsidR="00AF7E98" w:rsidRPr="00AF7E98">
        <w:rPr>
          <w:rFonts w:cs="Times New Roman"/>
          <w:noProof/>
          <w:szCs w:val="24"/>
          <w:lang w:val="en-GB"/>
        </w:rPr>
        <w:t>2019)</w:t>
      </w:r>
      <w:r w:rsidR="00AF7E98">
        <w:rPr>
          <w:rFonts w:cs="Times New Roman"/>
          <w:szCs w:val="24"/>
          <w:lang w:val="en-GB"/>
        </w:rPr>
        <w:fldChar w:fldCharType="end"/>
      </w:r>
      <w:r w:rsidR="009F690E">
        <w:rPr>
          <w:rFonts w:cs="Times New Roman"/>
          <w:szCs w:val="24"/>
          <w:lang w:val="en-GB"/>
        </w:rPr>
        <w:t>). These studies sought to investigate two main questions: is there a blood microbiome? If there is, what does the microbial profile look like?</w:t>
      </w:r>
      <w:r w:rsidR="00782EC9">
        <w:rPr>
          <w:rFonts w:cs="Times New Roman"/>
          <w:szCs w:val="24"/>
          <w:lang w:val="en-GB"/>
        </w:rPr>
        <w:t xml:space="preserve"> </w:t>
      </w:r>
      <w:r w:rsidR="009F690E">
        <w:rPr>
          <w:rFonts w:cs="Times New Roman"/>
          <w:szCs w:val="24"/>
          <w:lang w:val="en-GB"/>
        </w:rPr>
        <w:t xml:space="preserve">To do so, </w:t>
      </w:r>
      <w:r w:rsidR="0041261F">
        <w:rPr>
          <w:rFonts w:cs="Times New Roman"/>
          <w:szCs w:val="24"/>
          <w:lang w:val="en-GB"/>
        </w:rPr>
        <w:t>most studies have</w:t>
      </w:r>
      <w:r w:rsidR="009F690E">
        <w:rPr>
          <w:rFonts w:cs="Times New Roman"/>
          <w:szCs w:val="24"/>
          <w:lang w:val="en-GB"/>
        </w:rPr>
        <w:t xml:space="preserve"> employed </w:t>
      </w:r>
      <w:r w:rsidR="0041261F">
        <w:rPr>
          <w:rFonts w:cs="Times New Roman"/>
          <w:szCs w:val="24"/>
          <w:lang w:val="en-GB"/>
        </w:rPr>
        <w:t xml:space="preserve">culture-based or </w:t>
      </w:r>
      <w:r w:rsidR="00AF7E98">
        <w:rPr>
          <w:rFonts w:cs="Times New Roman"/>
          <w:szCs w:val="24"/>
          <w:lang w:val="en-GB"/>
        </w:rPr>
        <w:t>sequencing</w:t>
      </w:r>
      <w:r w:rsidR="0041261F">
        <w:rPr>
          <w:rFonts w:cs="Times New Roman"/>
          <w:szCs w:val="24"/>
          <w:lang w:val="en-GB"/>
        </w:rPr>
        <w:t xml:space="preserve"> </w:t>
      </w:r>
      <w:r w:rsidR="00AF7E98">
        <w:rPr>
          <w:rFonts w:cs="Times New Roman"/>
          <w:szCs w:val="24"/>
          <w:lang w:val="en-GB"/>
        </w:rPr>
        <w:t xml:space="preserve">approaches. The former </w:t>
      </w:r>
      <w:r w:rsidR="0041261F">
        <w:rPr>
          <w:rFonts w:cs="Times New Roman"/>
          <w:szCs w:val="24"/>
          <w:lang w:val="en-GB"/>
        </w:rPr>
        <w:t>approach involves the use of</w:t>
      </w:r>
      <w:r w:rsidR="00AF7E98">
        <w:rPr>
          <w:rFonts w:cs="Times New Roman"/>
          <w:szCs w:val="24"/>
          <w:lang w:val="en-GB"/>
        </w:rPr>
        <w:t xml:space="preserve"> </w:t>
      </w:r>
      <w:r w:rsidR="0041261F">
        <w:rPr>
          <w:rFonts w:cs="Times New Roman"/>
          <w:szCs w:val="24"/>
          <w:lang w:val="en-GB"/>
        </w:rPr>
        <w:t xml:space="preserve">microbiological cultures of blood samples; the latter involves either </w:t>
      </w:r>
      <w:r w:rsidR="00AF7E98">
        <w:rPr>
          <w:rFonts w:cs="Times New Roman"/>
          <w:szCs w:val="24"/>
          <w:lang w:val="en-GB"/>
        </w:rPr>
        <w:t>targeted 16S marker-gene, or non-targeted ‘shotgun’ metagenomic sequencing</w:t>
      </w:r>
      <w:r w:rsidR="0041261F">
        <w:rPr>
          <w:rFonts w:cs="Times New Roman"/>
          <w:szCs w:val="24"/>
          <w:lang w:val="en-GB"/>
        </w:rPr>
        <w:t xml:space="preserve"> of microbial DNA extracted from blood</w:t>
      </w:r>
      <w:r w:rsidR="00AF7E98">
        <w:rPr>
          <w:rFonts w:cs="Times New Roman"/>
          <w:szCs w:val="24"/>
          <w:lang w:val="en-GB"/>
        </w:rPr>
        <w:t xml:space="preserve">. </w:t>
      </w:r>
      <w:r w:rsidR="00425991">
        <w:rPr>
          <w:rFonts w:cs="Times New Roman"/>
          <w:szCs w:val="24"/>
          <w:lang w:val="en-GB"/>
        </w:rPr>
        <w:t>Both types of approaches have their advantages and limitations.</w:t>
      </w:r>
      <w:r w:rsidR="00ED2D54">
        <w:rPr>
          <w:rFonts w:cs="Times New Roman"/>
          <w:szCs w:val="24"/>
          <w:lang w:val="en-GB"/>
        </w:rPr>
        <w:t xml:space="preserve"> Culture-based methods demonstrate the viability of detected microorganisms. However, they cannot detect ‘unculturable’ microorganisms and have a notoriously low sensitivity, especially when the bacterial load is low </w:t>
      </w:r>
      <w:r w:rsidR="00ED2D54">
        <w:rPr>
          <w:rFonts w:cs="Times New Roman"/>
          <w:szCs w:val="24"/>
          <w:lang w:val="en-GB"/>
        </w:rPr>
        <w:fldChar w:fldCharType="begin" w:fldLock="1"/>
      </w:r>
      <w:r w:rsidR="00E8562C">
        <w:rPr>
          <w:rFonts w:cs="Times New Roman"/>
          <w:szCs w:val="24"/>
          <w:lang w:val="en-GB"/>
        </w:rPr>
        <w:instrText>ADDIN CSL_CITATION {"citationItems":[{"id":"ITEM-1","itemData":{"ISSN":"0041-1132","author":[{"dropping-particle":"","family":"Benjamin","given":"Richard J","non-dropping-particle":"","parse-names":false,"suffix":""},{"dropping-particle":"","family":"Wagner","given":"Stephen J","non-dropping-particle":"","parse-names":false,"suffix":""}],"container-title":"Transfusion","id":"ITEM-1","issue":"8","issued":{"date-parts":[["2007"]]},"page":"1381-1389","publisher":"Wiley Online Library","title":"The residual risk of sepsis: modeling the effect of concentration on bacterial detection in two‐bottle culture systems and an estimation of false‐negative culture rates","type":"article-journal","volume":"47"},"uris":["http://www.mendeley.com/documents/?uuid=218ad5a4-302d-4776-8423-e030ed3dfe48"]}],"mendeley":{"formattedCitation":"(Benjamin and Wagner, 2007)","plainTextFormattedCitation":"(Benjamin and Wagner, 2007)","previouslyFormattedCitation":"(Benjamin and Wagner, 2007)"},"properties":{"noteIndex":0},"schema":"https://github.com/citation-style-language/schema/raw/master/csl-citation.json"}</w:instrText>
      </w:r>
      <w:r w:rsidR="00ED2D54">
        <w:rPr>
          <w:rFonts w:cs="Times New Roman"/>
          <w:szCs w:val="24"/>
          <w:lang w:val="en-GB"/>
        </w:rPr>
        <w:fldChar w:fldCharType="separate"/>
      </w:r>
      <w:r w:rsidR="00ED2D54" w:rsidRPr="00ED2D54">
        <w:rPr>
          <w:rFonts w:cs="Times New Roman"/>
          <w:noProof/>
          <w:szCs w:val="24"/>
          <w:lang w:val="en-GB"/>
        </w:rPr>
        <w:t>(Benjamin and Wagner, 2007)</w:t>
      </w:r>
      <w:r w:rsidR="00ED2D54">
        <w:rPr>
          <w:rFonts w:cs="Times New Roman"/>
          <w:szCs w:val="24"/>
          <w:lang w:val="en-GB"/>
        </w:rPr>
        <w:fldChar w:fldCharType="end"/>
      </w:r>
      <w:r w:rsidR="00ED2D54">
        <w:rPr>
          <w:rFonts w:cs="Times New Roman"/>
          <w:szCs w:val="24"/>
          <w:lang w:val="en-GB"/>
        </w:rPr>
        <w:t xml:space="preserve">. </w:t>
      </w:r>
      <w:r w:rsidR="0041261F">
        <w:rPr>
          <w:rFonts w:cs="Times New Roman"/>
          <w:szCs w:val="24"/>
          <w:lang w:val="en-GB"/>
        </w:rPr>
        <w:t xml:space="preserve">Additionally, </w:t>
      </w:r>
      <w:r w:rsidR="00955CCC">
        <w:rPr>
          <w:rFonts w:cs="Times New Roman"/>
          <w:szCs w:val="24"/>
          <w:lang w:val="en-GB"/>
        </w:rPr>
        <w:t xml:space="preserve">the microorganisms detected are largely biased by the type of culture medium used. </w:t>
      </w:r>
      <w:r w:rsidR="00ED2D54">
        <w:rPr>
          <w:rFonts w:cs="Times New Roman"/>
          <w:szCs w:val="24"/>
          <w:lang w:val="en-GB"/>
        </w:rPr>
        <w:t xml:space="preserve">This approach therefore prevents a comprehensive characterisation of the breadth of blood microorganisms. </w:t>
      </w:r>
    </w:p>
    <w:p w14:paraId="70C7DB72" w14:textId="7F092181" w:rsidR="00D1385C" w:rsidRDefault="00ED2D54" w:rsidP="00D1385C">
      <w:pPr>
        <w:spacing w:line="360" w:lineRule="auto"/>
        <w:rPr>
          <w:rFonts w:cs="Times New Roman"/>
          <w:szCs w:val="24"/>
          <w:lang w:val="en-GB"/>
        </w:rPr>
      </w:pPr>
      <w:r>
        <w:rPr>
          <w:rFonts w:cs="Times New Roman"/>
          <w:szCs w:val="24"/>
          <w:lang w:val="en-GB"/>
        </w:rPr>
        <w:t>On the other hand,</w:t>
      </w:r>
      <w:r w:rsidR="005B33AB">
        <w:rPr>
          <w:rFonts w:cs="Times New Roman"/>
          <w:szCs w:val="24"/>
          <w:lang w:val="en-GB"/>
        </w:rPr>
        <w:t xml:space="preserve"> metagenomic sequencing</w:t>
      </w:r>
      <w:r w:rsidR="00425991">
        <w:rPr>
          <w:rFonts w:cs="Times New Roman"/>
          <w:szCs w:val="24"/>
          <w:lang w:val="en-GB"/>
        </w:rPr>
        <w:t xml:space="preserve"> can detect unculturable </w:t>
      </w:r>
      <w:r w:rsidR="005B33AB">
        <w:rPr>
          <w:rFonts w:cs="Times New Roman"/>
          <w:szCs w:val="24"/>
          <w:lang w:val="en-GB"/>
        </w:rPr>
        <w:t xml:space="preserve">or low abundance </w:t>
      </w:r>
      <w:r>
        <w:rPr>
          <w:rFonts w:cs="Times New Roman"/>
          <w:szCs w:val="24"/>
          <w:lang w:val="en-GB"/>
        </w:rPr>
        <w:t>micro</w:t>
      </w:r>
      <w:r w:rsidR="00425991">
        <w:rPr>
          <w:rFonts w:cs="Times New Roman"/>
          <w:szCs w:val="24"/>
          <w:lang w:val="en-GB"/>
        </w:rPr>
        <w:t>organisms</w:t>
      </w:r>
      <w:r w:rsidR="005B33AB">
        <w:rPr>
          <w:rFonts w:cs="Times New Roman"/>
          <w:szCs w:val="24"/>
          <w:lang w:val="en-GB"/>
        </w:rPr>
        <w:t xml:space="preserve">, and is therefore a more sensitive approach for profiling the blood microbiome. The main trade-off for this increased sensitivity is that sequencing is </w:t>
      </w:r>
      <w:r w:rsidR="00425991">
        <w:rPr>
          <w:rFonts w:cs="Times New Roman"/>
          <w:szCs w:val="24"/>
          <w:lang w:val="en-GB"/>
        </w:rPr>
        <w:t xml:space="preserve">highly prone to environmental contamination. </w:t>
      </w:r>
      <w:r w:rsidR="0099602C">
        <w:rPr>
          <w:rFonts w:cs="Times New Roman"/>
          <w:szCs w:val="24"/>
          <w:lang w:val="en-GB"/>
        </w:rPr>
        <w:t>C</w:t>
      </w:r>
      <w:r w:rsidR="00425991">
        <w:rPr>
          <w:rFonts w:cs="Times New Roman"/>
          <w:szCs w:val="24"/>
          <w:lang w:val="en-GB"/>
        </w:rPr>
        <w:t>ontaminant</w:t>
      </w:r>
      <w:r w:rsidR="00425991">
        <w:rPr>
          <w:rFonts w:eastAsia="Times New Roman" w:cs="Times New Roman"/>
          <w:szCs w:val="24"/>
          <w:lang w:val="en-GB"/>
        </w:rPr>
        <w:t xml:space="preserve"> DNA</w:t>
      </w:r>
      <w:r w:rsidR="003D7C0B">
        <w:rPr>
          <w:rFonts w:eastAsia="Times New Roman" w:cs="Times New Roman"/>
          <w:szCs w:val="24"/>
          <w:lang w:val="en-GB"/>
        </w:rPr>
        <w:t xml:space="preserve"> </w:t>
      </w:r>
      <w:r w:rsidR="00425991">
        <w:rPr>
          <w:rFonts w:eastAsia="Times New Roman" w:cs="Times New Roman"/>
          <w:szCs w:val="24"/>
          <w:lang w:val="en-GB"/>
        </w:rPr>
        <w:t>from laboratory reagents, referred to as the ‘</w:t>
      </w:r>
      <w:proofErr w:type="spellStart"/>
      <w:r w:rsidR="00425991">
        <w:rPr>
          <w:rFonts w:eastAsia="Times New Roman" w:cs="Times New Roman"/>
          <w:szCs w:val="24"/>
          <w:lang w:val="en-GB"/>
        </w:rPr>
        <w:t>kitome</w:t>
      </w:r>
      <w:proofErr w:type="spellEnd"/>
      <w:r w:rsidR="00425991">
        <w:rPr>
          <w:rFonts w:eastAsia="Times New Roman" w:cs="Times New Roman"/>
          <w:szCs w:val="24"/>
          <w:lang w:val="en-GB"/>
        </w:rPr>
        <w:t>’</w:t>
      </w:r>
      <w:r w:rsidR="0099602C">
        <w:rPr>
          <w:rFonts w:eastAsia="Times New Roman" w:cs="Times New Roman"/>
          <w:szCs w:val="24"/>
          <w:lang w:val="en-GB"/>
        </w:rPr>
        <w:t>, can be</w:t>
      </w:r>
      <w:r w:rsidR="003D7C0B">
        <w:rPr>
          <w:rFonts w:eastAsia="Times New Roman" w:cs="Times New Roman"/>
          <w:szCs w:val="24"/>
          <w:lang w:val="en-GB"/>
        </w:rPr>
        <w:t xml:space="preserve"> introduced during sample processing</w:t>
      </w:r>
      <w:r w:rsidR="00425991">
        <w:rPr>
          <w:rFonts w:eastAsia="Times New Roman" w:cs="Times New Roman"/>
          <w:szCs w:val="24"/>
          <w:lang w:val="en-GB"/>
        </w:rPr>
        <w:t xml:space="preserve"> </w:t>
      </w:r>
      <w:r w:rsidR="00425991">
        <w:rPr>
          <w:rFonts w:eastAsia="Times New Roman" w:cs="Times New Roman"/>
          <w:szCs w:val="24"/>
          <w:lang w:val="en-GB"/>
        </w:rPr>
        <w:fldChar w:fldCharType="begin" w:fldLock="1"/>
      </w:r>
      <w:r w:rsidR="00425991">
        <w:rPr>
          <w:rFonts w:eastAsia="Times New Roman" w:cs="Times New Roman"/>
          <w:szCs w:val="24"/>
          <w:lang w:val="en-GB"/>
        </w:rPr>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id":"ITEM-2","itemData":{"ISSN":"1757-4749","author":[{"dropping-particle":"","family":"Glassing","given":"Angela","non-dropping-particle":"","parse-names":false,"suffix":""},{"dropping-particle":"","family":"Dowd","given":"Scot E","non-dropping-particle":"","parse-names":false,"suffix":""},{"dropping-particle":"","family":"Galandiuk","given":"Susan","non-dropping-particle":"","parse-names":false,"suffix":""},{"dropping-particle":"","family":"Davis","given":"Brian","non-dropping-particle":"","parse-names":false,"suffix":""},{"dropping-particle":"","family":"Chiodini","given":"Rodrick J","non-dropping-particle":"","parse-names":false,"suffix":""}],"container-title":"Gut pathogens","id":"ITEM-2","issue":"1","issued":{"date-parts":[["2016"]]},"page":"24","publisher":"Springer","title":"Inherent bacterial DNA contamination of extraction and sequencing reagents may affect interpretation of microbiota in low bacterial biomass samples","type":"article-journal","volume":"8"},"uris":["http://www.mendeley.com/documents/?uuid=a9850e0b-651c-4480-9070-090966080d9d"]},{"id":"ITEM-3","itemData":{"ISSN":"1474-760X","author":[{"dropping-particle":"","family":"Weiss","given":"Sophie","non-dropping-particle":"","parse-names":false,"suffix":""},{"dropping-particle":"","family":"Amir","given":"Amnon","non-dropping-particle":"","parse-names":false,"suffix":""},{"dropping-particle":"","family":"Hyde","given":"Embriette R","non-dropping-particle":"","parse-names":false,"suffix":""},{"dropping-particle":"","family":"Metcalf","given":"Jessica L","non-dropping-particle":"","parse-names":false,"suffix":""},{"dropping-particle":"","family":"Song","given":"Se Jin","non-dropping-particle":"","parse-names":false,"suffix":""},{"dropping-particle":"","family":"Knight","given":"Rob","non-dropping-particle":"","parse-names":false,"suffix":""}],"container-title":"Genome biology","id":"ITEM-3","issue":"12","issued":{"date-parts":[["2014"]]},"page":"564","publisher":"BioMed Central","title":"Tracking down the sources of experimental contamination in microbiome studies","type":"article-journal","volume":"15"},"uris":["http://www.mendeley.com/documents/?uuid=6b4fac83-e30c-49ee-96b4-ae87ffe2b9b2"]}],"mendeley":{"formattedCitation":"(Salter &lt;i&gt;et al.&lt;/i&gt;, 2014; Weiss &lt;i&gt;et al.&lt;/i&gt;, 2014; Glassing &lt;i&gt;et al.&lt;/i&gt;, 2016)","plainTextFormattedCitation":"(Salter et al., 2014; Weiss et al., 2014; Glassing et al., 2016)","previouslyFormattedCitation":"(Salter &lt;i&gt;et al.&lt;/i&gt;, 2014; Weiss &lt;i&gt;et al.&lt;/i&gt;, 2014; Glassing &lt;i&gt;et al.&lt;/i&gt;, 2016)"},"properties":{"noteIndex":0},"schema":"https://github.com/citation-style-language/schema/raw/master/csl-citation.json"}</w:instrText>
      </w:r>
      <w:r w:rsidR="00425991">
        <w:rPr>
          <w:rFonts w:eastAsia="Times New Roman" w:cs="Times New Roman"/>
          <w:szCs w:val="24"/>
          <w:lang w:val="en-GB"/>
        </w:rPr>
        <w:fldChar w:fldCharType="separate"/>
      </w:r>
      <w:r w:rsidR="00425991" w:rsidRPr="006E7F3F">
        <w:rPr>
          <w:rFonts w:eastAsia="Times New Roman" w:cs="Times New Roman"/>
          <w:noProof/>
          <w:szCs w:val="24"/>
          <w:lang w:val="en-GB"/>
        </w:rPr>
        <w:t xml:space="preserve">(Salter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Weiss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Glassing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2016)</w:t>
      </w:r>
      <w:r w:rsidR="00425991">
        <w:rPr>
          <w:rFonts w:eastAsia="Times New Roman" w:cs="Times New Roman"/>
          <w:szCs w:val="24"/>
          <w:lang w:val="en-GB"/>
        </w:rPr>
        <w:fldChar w:fldCharType="end"/>
      </w:r>
      <w:r w:rsidR="00425991">
        <w:rPr>
          <w:rFonts w:eastAsia="Times New Roman" w:cs="Times New Roman"/>
          <w:szCs w:val="24"/>
          <w:lang w:val="en-GB"/>
        </w:rPr>
        <w:t>.</w:t>
      </w:r>
      <w:r w:rsidR="003D7C0B">
        <w:rPr>
          <w:rFonts w:eastAsia="Times New Roman" w:cs="Times New Roman"/>
          <w:szCs w:val="24"/>
          <w:lang w:val="en-GB"/>
        </w:rPr>
        <w:t xml:space="preserve"> Alternatively, contaminant DNA may be introduced </w:t>
      </w:r>
      <w:r w:rsidR="00860D9C">
        <w:rPr>
          <w:rFonts w:eastAsia="Times New Roman" w:cs="Times New Roman"/>
          <w:szCs w:val="24"/>
          <w:lang w:val="en-GB"/>
        </w:rPr>
        <w:t>when using</w:t>
      </w:r>
      <w:r w:rsidR="003D7C0B">
        <w:rPr>
          <w:rFonts w:eastAsia="Times New Roman" w:cs="Times New Roman"/>
          <w:szCs w:val="24"/>
          <w:lang w:val="en-GB"/>
        </w:rPr>
        <w:t xml:space="preserve"> non-sterile equipment or </w:t>
      </w:r>
      <w:r w:rsidR="00860D9C">
        <w:rPr>
          <w:rFonts w:eastAsia="Times New Roman" w:cs="Times New Roman"/>
          <w:szCs w:val="24"/>
          <w:lang w:val="en-GB"/>
        </w:rPr>
        <w:t xml:space="preserve">poor </w:t>
      </w:r>
      <w:r w:rsidR="003D7C0B">
        <w:rPr>
          <w:rFonts w:eastAsia="Times New Roman" w:cs="Times New Roman"/>
          <w:szCs w:val="24"/>
          <w:lang w:val="en-GB"/>
        </w:rPr>
        <w:t>aseptic technique during sample collection.</w:t>
      </w:r>
      <w:r w:rsidR="0099602C">
        <w:rPr>
          <w:rFonts w:eastAsia="Times New Roman" w:cs="Times New Roman"/>
          <w:szCs w:val="24"/>
          <w:lang w:val="en-GB"/>
        </w:rPr>
        <w:t xml:space="preserve"> These contaminating sequences are known to skew biological inference</w:t>
      </w:r>
      <w:r w:rsidR="00F951C1">
        <w:rPr>
          <w:rFonts w:eastAsia="Times New Roman" w:cs="Times New Roman"/>
          <w:szCs w:val="24"/>
          <w:lang w:val="en-GB"/>
        </w:rPr>
        <w:t>s</w:t>
      </w:r>
      <w:r w:rsidR="0099602C">
        <w:rPr>
          <w:rFonts w:eastAsia="Times New Roman" w:cs="Times New Roman"/>
          <w:szCs w:val="24"/>
          <w:lang w:val="en-GB"/>
        </w:rPr>
        <w:t xml:space="preserve"> of metagenomic sequencing data, particularly for sample types with low microbial biomass such as blood </w:t>
      </w:r>
      <w:r w:rsidR="0099602C">
        <w:rPr>
          <w:rFonts w:eastAsia="Times New Roman" w:cs="Times New Roman"/>
          <w:szCs w:val="24"/>
          <w:lang w:val="en-GB"/>
        </w:rPr>
        <w:fldChar w:fldCharType="begin" w:fldLock="1"/>
      </w:r>
      <w:r w:rsidR="002B79B3">
        <w:rPr>
          <w:rFonts w:eastAsia="Times New Roman" w:cs="Times New Roman"/>
          <w:szCs w:val="24"/>
          <w:lang w:val="en-GB"/>
        </w:rPr>
        <w:instrText>ADDIN CSL_CITATION {"citationItems":[{"id":"ITEM-1","itemData":{"DOI":"https://doi.org/10.1016/j.tim.2018.11.003","ISSN":"0966-842X","abstract":"Next-generation sequencing approaches in microbiome research have allowed surveys of microbial communities, their genomes, and their functions with higher sensitivity than ever before. However, this sensitivity is a double-edged sword because these tools also efficiently detect contaminant DNA and cross-contamination, which can confound the interpretation of microbiome data. Therefore, there is an urgent need to integrate key controls into microbiome research to improve the integrity of microbiome studies. Here, we review how contaminant DNA and cross-contamination arise within microbiome studies and discuss their negative impacts, especially during the analysis of low microbial biomass samples. We then identify several key measures that researchers can implement to reduce the impact of contaminant DNA and cross-contamination during microbiome research. We put forward a set of minimal experimental criteria, the ‘RIDE’ checklist, to improve the validity of future low microbial biomass research.","author":[{"dropping-particle":"","family":"Eisenhofer","given":"Raphael","non-dropping-particle":"","parse-names":false,"suffix":""},{"dropping-particle":"","family":"Minich","given":"Jeremiah J","non-dropping-particle":"","parse-names":false,"suffix":""},{"dropping-particle":"","family":"Marotz","given":"Clarisse","non-dropping-particle":"","parse-names":false,"suffix":""},{"dropping-particle":"","family":"Cooper","given":"Alan","non-dropping-particle":"","parse-names":false,"suffix":""},{"dropping-particle":"","family":"Knight","given":"Rob","non-dropping-particle":"","parse-names":false,"suffix":""},{"dropping-particle":"","family":"Weyrich","given":"Laura S","non-dropping-particle":"","parse-names":false,"suffix":""}],"container-title":"Trends in Microbiology","id":"ITEM-1","issue":"2","issued":{"date-parts":[["2019"]]},"page":"105-117","title":"Contamination in Low Microbial Biomass Microbiome Studies: Issues and Recommendations","type":"article-journal","volume":"27"},"uris":["http://www.mendeley.com/documents/?uuid=a5a7fa1f-471f-4f3e-94cf-a9c283d0c732"]}],"mendeley":{"formattedCitation":"(Eisenhofer &lt;i&gt;et al.&lt;/i&gt;, 2019)","plainTextFormattedCitation":"(Eisenhofer et al., 2019)","previouslyFormattedCitation":"(Eisenhofer &lt;i&gt;et al.&lt;/i&gt;, 2019)"},"properties":{"noteIndex":0},"schema":"https://github.com/citation-style-language/schema/raw/master/csl-citation.json"}</w:instrText>
      </w:r>
      <w:r w:rsidR="0099602C">
        <w:rPr>
          <w:rFonts w:eastAsia="Times New Roman" w:cs="Times New Roman"/>
          <w:szCs w:val="24"/>
          <w:lang w:val="en-GB"/>
        </w:rPr>
        <w:fldChar w:fldCharType="separate"/>
      </w:r>
      <w:r w:rsidR="0099602C" w:rsidRPr="0099602C">
        <w:rPr>
          <w:rFonts w:eastAsia="Times New Roman" w:cs="Times New Roman"/>
          <w:noProof/>
          <w:szCs w:val="24"/>
          <w:lang w:val="en-GB"/>
        </w:rPr>
        <w:t xml:space="preserve">(Eisenhofer </w:t>
      </w:r>
      <w:r w:rsidR="0099602C" w:rsidRPr="0099602C">
        <w:rPr>
          <w:rFonts w:eastAsia="Times New Roman" w:cs="Times New Roman"/>
          <w:i/>
          <w:noProof/>
          <w:szCs w:val="24"/>
          <w:lang w:val="en-GB"/>
        </w:rPr>
        <w:t>et al.</w:t>
      </w:r>
      <w:r w:rsidR="0099602C" w:rsidRPr="0099602C">
        <w:rPr>
          <w:rFonts w:eastAsia="Times New Roman" w:cs="Times New Roman"/>
          <w:noProof/>
          <w:szCs w:val="24"/>
          <w:lang w:val="en-GB"/>
        </w:rPr>
        <w:t>, 2019)</w:t>
      </w:r>
      <w:r w:rsidR="0099602C">
        <w:rPr>
          <w:rFonts w:eastAsia="Times New Roman" w:cs="Times New Roman"/>
          <w:szCs w:val="24"/>
          <w:lang w:val="en-GB"/>
        </w:rPr>
        <w:fldChar w:fldCharType="end"/>
      </w:r>
      <w:r w:rsidR="0099602C">
        <w:rPr>
          <w:rFonts w:eastAsia="Times New Roman" w:cs="Times New Roman"/>
          <w:szCs w:val="24"/>
          <w:lang w:val="en-GB"/>
        </w:rPr>
        <w:t>.</w:t>
      </w:r>
      <w:r w:rsidR="003D7C0B">
        <w:rPr>
          <w:rFonts w:eastAsia="Times New Roman" w:cs="Times New Roman"/>
          <w:szCs w:val="24"/>
          <w:lang w:val="en-GB"/>
        </w:rPr>
        <w:t xml:space="preserve"> </w:t>
      </w:r>
      <w:r w:rsidR="00386328">
        <w:rPr>
          <w:rFonts w:eastAsia="Times New Roman" w:cs="Times New Roman"/>
          <w:szCs w:val="24"/>
          <w:lang w:val="en-GB"/>
        </w:rPr>
        <w:t>Delineating c</w:t>
      </w:r>
      <w:r w:rsidR="00282A30">
        <w:rPr>
          <w:rFonts w:eastAsia="Times New Roman" w:cs="Times New Roman"/>
          <w:szCs w:val="24"/>
          <w:lang w:val="en-GB"/>
        </w:rPr>
        <w:t>ontaminant DNA sequences from tho</w:t>
      </w:r>
      <w:r w:rsidR="00D1385C">
        <w:rPr>
          <w:rFonts w:cs="Times New Roman"/>
          <w:szCs w:val="24"/>
          <w:lang w:val="en-GB"/>
        </w:rPr>
        <w:t>s</w:t>
      </w:r>
      <w:r w:rsidR="00282A30">
        <w:rPr>
          <w:rFonts w:cs="Times New Roman"/>
          <w:szCs w:val="24"/>
          <w:lang w:val="en-GB"/>
        </w:rPr>
        <w:t xml:space="preserve">e endogenous to blood is </w:t>
      </w:r>
      <w:r w:rsidR="00386328">
        <w:rPr>
          <w:rFonts w:cs="Times New Roman"/>
          <w:szCs w:val="24"/>
          <w:lang w:val="en-GB"/>
        </w:rPr>
        <w:t xml:space="preserve">therefore </w:t>
      </w:r>
      <w:r w:rsidR="00282A30">
        <w:rPr>
          <w:rFonts w:cs="Times New Roman"/>
          <w:szCs w:val="24"/>
          <w:lang w:val="en-GB"/>
        </w:rPr>
        <w:t>crucial in lending weight to arguments for a blood microbiome</w:t>
      </w:r>
      <w:r w:rsidR="00425991">
        <w:rPr>
          <w:rFonts w:cs="Times New Roman"/>
          <w:szCs w:val="24"/>
          <w:lang w:val="en-GB"/>
        </w:rPr>
        <w:t>.</w:t>
      </w:r>
      <w:r w:rsidR="00542DE6">
        <w:rPr>
          <w:rFonts w:cs="Times New Roman"/>
          <w:szCs w:val="24"/>
          <w:lang w:val="en-GB"/>
        </w:rPr>
        <w:t xml:space="preserve"> </w:t>
      </w:r>
      <w:r w:rsidR="00282A30">
        <w:rPr>
          <w:rFonts w:cs="Times New Roman"/>
          <w:szCs w:val="24"/>
          <w:lang w:val="en-GB"/>
        </w:rPr>
        <w:t>However, a</w:t>
      </w:r>
      <w:r w:rsidR="00D1385C">
        <w:rPr>
          <w:rFonts w:cs="Times New Roman"/>
          <w:szCs w:val="24"/>
          <w:lang w:val="en-GB"/>
        </w:rPr>
        <w:t xml:space="preserve">s </w:t>
      </w:r>
      <w:r w:rsidR="00D1385C">
        <w:rPr>
          <w:rFonts w:cs="Times New Roman"/>
          <w:szCs w:val="24"/>
          <w:lang w:val="en-GB"/>
        </w:rPr>
        <w:fldChar w:fldCharType="begin" w:fldLock="1"/>
      </w:r>
      <w:r w:rsidR="0041261F">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D1385C">
        <w:rPr>
          <w:rFonts w:cs="Times New Roman"/>
          <w:szCs w:val="24"/>
          <w:lang w:val="en-GB"/>
        </w:rPr>
        <w:fldChar w:fldCharType="separate"/>
      </w:r>
      <w:r w:rsidR="00D1385C" w:rsidRPr="00E8562C">
        <w:rPr>
          <w:rFonts w:cs="Times New Roman"/>
          <w:noProof/>
          <w:szCs w:val="24"/>
          <w:lang w:val="en-GB"/>
        </w:rPr>
        <w:t xml:space="preserve">Castillo </w:t>
      </w:r>
      <w:r w:rsidR="00D1385C" w:rsidRPr="00E8562C">
        <w:rPr>
          <w:rFonts w:cs="Times New Roman"/>
          <w:i/>
          <w:noProof/>
          <w:szCs w:val="24"/>
          <w:lang w:val="en-GB"/>
        </w:rPr>
        <w:t>et al.</w:t>
      </w:r>
      <w:r w:rsidR="00D1385C" w:rsidRPr="00E8562C">
        <w:rPr>
          <w:rFonts w:cs="Times New Roman"/>
          <w:noProof/>
          <w:szCs w:val="24"/>
          <w:lang w:val="en-GB"/>
        </w:rPr>
        <w:t xml:space="preserve"> </w:t>
      </w:r>
      <w:r w:rsidR="00D1385C">
        <w:rPr>
          <w:rFonts w:cs="Times New Roman"/>
          <w:noProof/>
          <w:szCs w:val="24"/>
          <w:lang w:val="en-GB"/>
        </w:rPr>
        <w:t>(</w:t>
      </w:r>
      <w:r w:rsidR="00D1385C" w:rsidRPr="00E8562C">
        <w:rPr>
          <w:rFonts w:cs="Times New Roman"/>
          <w:noProof/>
          <w:szCs w:val="24"/>
          <w:lang w:val="en-GB"/>
        </w:rPr>
        <w:t>2019)</w:t>
      </w:r>
      <w:r w:rsidR="00D1385C">
        <w:rPr>
          <w:rFonts w:cs="Times New Roman"/>
          <w:szCs w:val="24"/>
          <w:lang w:val="en-GB"/>
        </w:rPr>
        <w:fldChar w:fldCharType="end"/>
      </w:r>
      <w:r w:rsidR="00D1385C">
        <w:rPr>
          <w:rFonts w:cs="Times New Roman"/>
          <w:szCs w:val="24"/>
          <w:lang w:val="en-GB"/>
        </w:rPr>
        <w:t xml:space="preserve"> noted, </w:t>
      </w:r>
      <w:r w:rsidR="00282A30">
        <w:rPr>
          <w:rFonts w:cs="Times New Roman"/>
          <w:szCs w:val="24"/>
          <w:lang w:val="en-GB"/>
        </w:rPr>
        <w:t xml:space="preserve">experimental controls </w:t>
      </w:r>
      <w:r w:rsidR="00EE177B">
        <w:rPr>
          <w:rFonts w:cs="Times New Roman"/>
          <w:szCs w:val="24"/>
          <w:lang w:val="en-GB"/>
        </w:rPr>
        <w:t xml:space="preserve">for addressing the contamination problem are often </w:t>
      </w:r>
      <w:r w:rsidR="00F951C1">
        <w:rPr>
          <w:rFonts w:cs="Times New Roman"/>
          <w:szCs w:val="24"/>
          <w:lang w:val="en-GB"/>
        </w:rPr>
        <w:t>omitted in blood microbiome studies. Even when controls are included,</w:t>
      </w:r>
      <w:r w:rsidR="002B79B3">
        <w:rPr>
          <w:rFonts w:cs="Times New Roman"/>
          <w:szCs w:val="24"/>
          <w:lang w:val="en-GB"/>
        </w:rPr>
        <w:t xml:space="preserve"> they are often only used for quantifying the overall level of contamination introduced by </w:t>
      </w:r>
      <w:r w:rsidR="002B79B3">
        <w:rPr>
          <w:rFonts w:cs="Times New Roman"/>
          <w:szCs w:val="24"/>
          <w:lang w:val="en-GB"/>
        </w:rPr>
        <w:lastRenderedPageBreak/>
        <w:t xml:space="preserve">the </w:t>
      </w:r>
      <w:r w:rsidR="00B232DD">
        <w:rPr>
          <w:rFonts w:cs="Times New Roman"/>
          <w:szCs w:val="24"/>
          <w:lang w:val="en-GB"/>
        </w:rPr>
        <w:t xml:space="preserve">experimental </w:t>
      </w:r>
      <w:r w:rsidR="002B79B3">
        <w:rPr>
          <w:rFonts w:cs="Times New Roman"/>
          <w:szCs w:val="24"/>
          <w:lang w:val="en-GB"/>
        </w:rPr>
        <w:t xml:space="preserve">protocols used </w:t>
      </w:r>
      <w:r w:rsidR="002B79B3">
        <w:rPr>
          <w:rFonts w:cs="Times New Roman"/>
          <w:szCs w:val="24"/>
          <w:lang w:val="en-GB"/>
        </w:rPr>
        <w:fldChar w:fldCharType="begin" w:fldLock="1"/>
      </w:r>
      <w:r w:rsidR="006C02B7">
        <w:rPr>
          <w:rFonts w:cs="Times New Roman"/>
          <w:szCs w:val="24"/>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id":"ITEM-2","itemData":{"ISSN":"0041-1132","author":[{"dropping-particle":"","family":"Païssé","given":"Sandrine","non-dropping-particle":"","parse-names":false,"suffix":""},{"dropping-particle":"","family":"Valle","given":"Carine","non-dropping-particle":"","parse-names":false,"suffix":""},{"dropping-particle":"","family":"Servant","given":"Florence","non-dropping-particle":"","parse-names":false,"suffix":""},{"dropping-particle":"","family":"Courtney","given":"Michael","non-dropping-particle":"","parse-names":false,"suffix":""},{"dropping-particle":"","family":"Burcelin","given":"Rémy","non-dropping-particle":"","parse-names":false,"suffix":""},{"dropping-particle":"","family":"Amar","given":"Jacques","non-dropping-particle":"","parse-names":false,"suffix":""},{"dropping-particle":"","family":"Lelouvier","given":"Benjamin","non-dropping-particle":"","parse-names":false,"suffix":""}],"container-title":"Transfusion","id":"ITEM-2","issue":"5","issued":{"date-parts":[["2016"]]},"page":"1138-1147","publisher":"Wiley Online Library","title":"Comprehensive description of blood microbiome from healthy donors assessed by 16 S targeted metagenomic sequencing","type":"article-journal","volume":"56"},"uris":["http://www.mendeley.com/documents/?uuid=82c4f30f-a311-44c4-b5fd-70081805891a"]}],"mendeley":{"formattedCitation":"(Païssé &lt;i&gt;et al.&lt;/i&gt;, 2016; Gosiewski &lt;i&gt;et al.&lt;/i&gt;, 2017)","plainTextFormattedCitation":"(Païssé et al., 2016; Gosiewski et al., 2017)","previouslyFormattedCitation":"(Païssé &lt;i&gt;et al.&lt;/i&gt;, 2016; Gosiewski &lt;i&gt;et al.&lt;/i&gt;, 2017)"},"properties":{"noteIndex":0},"schema":"https://github.com/citation-style-language/schema/raw/master/csl-citation.json"}</w:instrText>
      </w:r>
      <w:r w:rsidR="002B79B3">
        <w:rPr>
          <w:rFonts w:cs="Times New Roman"/>
          <w:szCs w:val="24"/>
          <w:lang w:val="en-GB"/>
        </w:rPr>
        <w:fldChar w:fldCharType="separate"/>
      </w:r>
      <w:r w:rsidR="002B79B3" w:rsidRPr="002B79B3">
        <w:rPr>
          <w:rFonts w:cs="Times New Roman"/>
          <w:noProof/>
          <w:szCs w:val="24"/>
          <w:lang w:val="en-GB"/>
        </w:rPr>
        <w:t xml:space="preserve">(Païssé </w:t>
      </w:r>
      <w:r w:rsidR="002B79B3" w:rsidRPr="002B79B3">
        <w:rPr>
          <w:rFonts w:cs="Times New Roman"/>
          <w:i/>
          <w:noProof/>
          <w:szCs w:val="24"/>
          <w:lang w:val="en-GB"/>
        </w:rPr>
        <w:t>et al.</w:t>
      </w:r>
      <w:r w:rsidR="002B79B3" w:rsidRPr="002B79B3">
        <w:rPr>
          <w:rFonts w:cs="Times New Roman"/>
          <w:noProof/>
          <w:szCs w:val="24"/>
          <w:lang w:val="en-GB"/>
        </w:rPr>
        <w:t xml:space="preserve">, 2016; Gosiewski </w:t>
      </w:r>
      <w:r w:rsidR="002B79B3" w:rsidRPr="002B79B3">
        <w:rPr>
          <w:rFonts w:cs="Times New Roman"/>
          <w:i/>
          <w:noProof/>
          <w:szCs w:val="24"/>
          <w:lang w:val="en-GB"/>
        </w:rPr>
        <w:t>et al.</w:t>
      </w:r>
      <w:r w:rsidR="002B79B3" w:rsidRPr="002B79B3">
        <w:rPr>
          <w:rFonts w:cs="Times New Roman"/>
          <w:noProof/>
          <w:szCs w:val="24"/>
          <w:lang w:val="en-GB"/>
        </w:rPr>
        <w:t>, 2017)</w:t>
      </w:r>
      <w:r w:rsidR="002B79B3">
        <w:rPr>
          <w:rFonts w:cs="Times New Roman"/>
          <w:szCs w:val="24"/>
          <w:lang w:val="en-GB"/>
        </w:rPr>
        <w:fldChar w:fldCharType="end"/>
      </w:r>
      <w:r w:rsidR="002B79B3">
        <w:rPr>
          <w:rFonts w:cs="Times New Roman"/>
          <w:szCs w:val="24"/>
          <w:lang w:val="en-GB"/>
        </w:rPr>
        <w:t>.</w:t>
      </w:r>
      <w:r w:rsidR="009A6D27">
        <w:rPr>
          <w:rFonts w:cs="Times New Roman"/>
          <w:szCs w:val="24"/>
          <w:lang w:val="en-GB"/>
        </w:rPr>
        <w:t xml:space="preserve"> </w:t>
      </w:r>
      <w:r w:rsidR="00595D08">
        <w:rPr>
          <w:rFonts w:cs="Times New Roman"/>
          <w:szCs w:val="24"/>
          <w:lang w:val="en-GB"/>
        </w:rPr>
        <w:t>S</w:t>
      </w:r>
      <w:r w:rsidR="00386328">
        <w:rPr>
          <w:rFonts w:cs="Times New Roman"/>
          <w:szCs w:val="24"/>
          <w:lang w:val="en-GB"/>
        </w:rPr>
        <w:t xml:space="preserve">uch controls should ideally be used to identify </w:t>
      </w:r>
      <w:r w:rsidR="00595D08">
        <w:rPr>
          <w:rFonts w:cs="Times New Roman"/>
          <w:szCs w:val="24"/>
          <w:lang w:val="en-GB"/>
        </w:rPr>
        <w:t xml:space="preserve">and remove putative contaminant taxa before making any biological inference of the microbial profiles observed.  </w:t>
      </w:r>
    </w:p>
    <w:p w14:paraId="4403C4F9" w14:textId="7B5CDC5F" w:rsidR="00BC2AC9" w:rsidRPr="00E066B1" w:rsidRDefault="002B6E55" w:rsidP="00A166AF">
      <w:pPr>
        <w:spacing w:line="360" w:lineRule="auto"/>
        <w:rPr>
          <w:rFonts w:cs="Times New Roman"/>
          <w:szCs w:val="24"/>
          <w:lang w:val="en-GB"/>
        </w:rPr>
      </w:pPr>
      <w:r>
        <w:rPr>
          <w:rFonts w:cs="Times New Roman"/>
          <w:szCs w:val="24"/>
          <w:lang w:val="en-GB"/>
        </w:rPr>
        <w:t>In this study</w:t>
      </w:r>
      <w:r w:rsidR="00485EC6">
        <w:rPr>
          <w:rFonts w:cs="Times New Roman"/>
          <w:szCs w:val="24"/>
          <w:lang w:val="en-GB"/>
        </w:rPr>
        <w:t>,</w:t>
      </w:r>
      <w:r w:rsidR="00735BEA">
        <w:rPr>
          <w:rFonts w:cs="Times New Roman"/>
          <w:szCs w:val="24"/>
          <w:lang w:val="en-GB"/>
        </w:rPr>
        <w:t xml:space="preserve"> </w:t>
      </w:r>
      <w:r w:rsidR="00485EC6">
        <w:rPr>
          <w:rFonts w:cs="Times New Roman"/>
          <w:szCs w:val="24"/>
          <w:lang w:val="en-GB"/>
        </w:rPr>
        <w:t>16S marker-gene metagenomic sequencing (henceforth ‘16S sequencing’)</w:t>
      </w:r>
      <w:r w:rsidR="00735BEA">
        <w:rPr>
          <w:rFonts w:cs="Times New Roman"/>
          <w:szCs w:val="24"/>
          <w:lang w:val="en-GB"/>
        </w:rPr>
        <w:t xml:space="preserve"> was performed on microbial DNA extracted from the</w:t>
      </w:r>
      <w:r w:rsidR="00485EC6">
        <w:rPr>
          <w:rFonts w:cs="Times New Roman"/>
          <w:szCs w:val="24"/>
          <w:lang w:val="en-GB"/>
        </w:rPr>
        <w:t xml:space="preserve"> </w:t>
      </w:r>
      <w:r w:rsidR="00735BEA">
        <w:rPr>
          <w:rFonts w:cs="Times New Roman"/>
          <w:szCs w:val="24"/>
          <w:lang w:val="en-GB"/>
        </w:rPr>
        <w:t xml:space="preserve">blood of 23 clinically healthy individuals </w:t>
      </w:r>
      <w:r w:rsidR="00485EC6">
        <w:rPr>
          <w:rFonts w:cs="Times New Roman"/>
          <w:szCs w:val="24"/>
          <w:lang w:val="en-GB"/>
        </w:rPr>
        <w:t>t</w:t>
      </w:r>
      <w:r>
        <w:rPr>
          <w:rFonts w:cs="Times New Roman"/>
          <w:szCs w:val="24"/>
          <w:lang w:val="en-GB"/>
        </w:rPr>
        <w:t xml:space="preserve">o </w:t>
      </w:r>
      <w:r w:rsidR="00485EC6">
        <w:rPr>
          <w:rFonts w:cs="Times New Roman"/>
          <w:szCs w:val="24"/>
          <w:lang w:val="en-GB"/>
        </w:rPr>
        <w:t xml:space="preserve">characterise the hypothetical </w:t>
      </w:r>
      <w:r w:rsidR="00C217C3">
        <w:rPr>
          <w:rFonts w:cs="Times New Roman"/>
          <w:szCs w:val="24"/>
          <w:lang w:val="en-GB"/>
        </w:rPr>
        <w:t xml:space="preserve">human </w:t>
      </w:r>
      <w:r w:rsidR="00485EC6">
        <w:rPr>
          <w:rFonts w:cs="Times New Roman"/>
          <w:szCs w:val="24"/>
          <w:lang w:val="en-GB"/>
        </w:rPr>
        <w:t xml:space="preserve">blood </w:t>
      </w:r>
      <w:r w:rsidR="00C217C3">
        <w:rPr>
          <w:rFonts w:cs="Times New Roman"/>
          <w:szCs w:val="24"/>
          <w:lang w:val="en-GB"/>
        </w:rPr>
        <w:t>microbiome.</w:t>
      </w:r>
      <w:r w:rsidR="002F1C34">
        <w:rPr>
          <w:rFonts w:cs="Times New Roman"/>
          <w:szCs w:val="24"/>
          <w:lang w:val="en-GB"/>
        </w:rPr>
        <w:t xml:space="preserve"> </w:t>
      </w:r>
      <w:r w:rsidR="00485EC6">
        <w:rPr>
          <w:rFonts w:cs="Times New Roman"/>
          <w:szCs w:val="24"/>
          <w:lang w:val="en-GB"/>
        </w:rPr>
        <w:t xml:space="preserve">To </w:t>
      </w:r>
      <w:r w:rsidR="00735BEA">
        <w:rPr>
          <w:rFonts w:cs="Times New Roman"/>
          <w:szCs w:val="24"/>
          <w:lang w:val="en-GB"/>
        </w:rPr>
        <w:t>address</w:t>
      </w:r>
      <w:r w:rsidR="00485EC6">
        <w:rPr>
          <w:rFonts w:cs="Times New Roman"/>
          <w:szCs w:val="24"/>
          <w:lang w:val="en-GB"/>
        </w:rPr>
        <w:t xml:space="preserve"> the problem of contamination, </w:t>
      </w:r>
      <w:r w:rsidR="00735BEA">
        <w:rPr>
          <w:rFonts w:cs="Times New Roman"/>
          <w:szCs w:val="24"/>
          <w:lang w:val="en-GB"/>
        </w:rPr>
        <w:t xml:space="preserve">five negative controls of sterile water were also sequenced, and </w:t>
      </w:r>
      <w:r w:rsidR="00485EC6">
        <w:rPr>
          <w:rFonts w:cs="Times New Roman"/>
          <w:szCs w:val="24"/>
          <w:lang w:val="en-GB"/>
        </w:rPr>
        <w:t>the</w:t>
      </w:r>
      <w:r w:rsidR="00735BEA">
        <w:rPr>
          <w:rFonts w:cs="Times New Roman"/>
          <w:szCs w:val="24"/>
          <w:lang w:val="en-GB"/>
        </w:rPr>
        <w:t>ir</w:t>
      </w:r>
      <w:r w:rsidR="00485EC6">
        <w:rPr>
          <w:rFonts w:cs="Times New Roman"/>
          <w:szCs w:val="24"/>
          <w:lang w:val="en-GB"/>
        </w:rPr>
        <w:t xml:space="preserve"> taxonomic profiles compared</w:t>
      </w:r>
      <w:r w:rsidR="0054185E">
        <w:rPr>
          <w:rFonts w:cs="Times New Roman"/>
          <w:szCs w:val="24"/>
          <w:lang w:val="en-GB"/>
        </w:rPr>
        <w:t xml:space="preserve"> at the genus rank. </w:t>
      </w:r>
      <w:r w:rsidR="00545AA9">
        <w:rPr>
          <w:rFonts w:cs="Times New Roman"/>
          <w:szCs w:val="24"/>
          <w:lang w:val="en-GB"/>
        </w:rPr>
        <w:t>Since t</w:t>
      </w:r>
      <w:r w:rsidR="00545AA9" w:rsidRPr="00545AA9">
        <w:rPr>
          <w:rFonts w:cs="Times New Roman"/>
          <w:szCs w:val="24"/>
          <w:lang w:val="en-GB"/>
        </w:rPr>
        <w:t xml:space="preserve">he microbial </w:t>
      </w:r>
      <w:r w:rsidR="00545AA9">
        <w:rPr>
          <w:rFonts w:cs="Times New Roman"/>
          <w:szCs w:val="24"/>
          <w:lang w:val="en-GB"/>
        </w:rPr>
        <w:t>taxa observed</w:t>
      </w:r>
      <w:r w:rsidR="00545AA9" w:rsidRPr="00545AA9">
        <w:rPr>
          <w:rFonts w:cs="Times New Roman"/>
          <w:szCs w:val="24"/>
          <w:lang w:val="en-GB"/>
        </w:rPr>
        <w:t xml:space="preserve"> in</w:t>
      </w:r>
      <w:r w:rsidR="00545AA9">
        <w:rPr>
          <w:rFonts w:cs="Times New Roman"/>
          <w:szCs w:val="24"/>
          <w:lang w:val="en-GB"/>
        </w:rPr>
        <w:t xml:space="preserve"> the</w:t>
      </w:r>
      <w:r w:rsidR="00545AA9" w:rsidRPr="00545AA9">
        <w:rPr>
          <w:rFonts w:cs="Times New Roman"/>
          <w:szCs w:val="24"/>
          <w:lang w:val="en-GB"/>
        </w:rPr>
        <w:t xml:space="preserve"> negative controls are assumed to be contaminants</w:t>
      </w:r>
      <w:r w:rsidR="00545AA9">
        <w:rPr>
          <w:rFonts w:cs="Times New Roman"/>
          <w:szCs w:val="24"/>
          <w:lang w:val="en-GB"/>
        </w:rPr>
        <w:t>, these taxa</w:t>
      </w:r>
      <w:r w:rsidR="0054185E">
        <w:rPr>
          <w:rFonts w:cs="Times New Roman"/>
          <w:szCs w:val="24"/>
          <w:lang w:val="en-GB"/>
        </w:rPr>
        <w:t xml:space="preserve"> </w:t>
      </w:r>
      <w:r w:rsidR="00545AA9">
        <w:rPr>
          <w:rFonts w:cs="Times New Roman"/>
          <w:szCs w:val="24"/>
          <w:lang w:val="en-GB"/>
        </w:rPr>
        <w:t xml:space="preserve">can be selectively omitted </w:t>
      </w:r>
      <w:r w:rsidR="003F7B54">
        <w:rPr>
          <w:rFonts w:cs="Times New Roman"/>
          <w:szCs w:val="24"/>
          <w:lang w:val="en-GB"/>
        </w:rPr>
        <w:t xml:space="preserve">to produce a </w:t>
      </w:r>
      <w:r w:rsidR="00545AA9">
        <w:rPr>
          <w:rFonts w:cs="Times New Roman"/>
          <w:szCs w:val="24"/>
          <w:lang w:val="en-GB"/>
        </w:rPr>
        <w:t>more</w:t>
      </w:r>
      <w:r w:rsidR="003F7B54">
        <w:rPr>
          <w:rFonts w:cs="Times New Roman"/>
          <w:szCs w:val="24"/>
          <w:lang w:val="en-GB"/>
        </w:rPr>
        <w:t xml:space="preserve"> accurate depiction of the microbial composition in blood</w:t>
      </w:r>
      <w:r w:rsidR="00485EC6">
        <w:rPr>
          <w:rFonts w:cs="Times New Roman"/>
          <w:szCs w:val="24"/>
          <w:lang w:val="en-GB"/>
        </w:rPr>
        <w:t xml:space="preserve">. </w:t>
      </w:r>
      <w:r w:rsidR="00C217C3">
        <w:rPr>
          <w:rFonts w:cs="Times New Roman"/>
          <w:szCs w:val="24"/>
          <w:lang w:val="en-GB"/>
        </w:rPr>
        <w:t>The results suggest that the</w:t>
      </w:r>
      <w:r w:rsidR="00485EC6">
        <w:rPr>
          <w:rFonts w:cs="Times New Roman"/>
          <w:szCs w:val="24"/>
          <w:lang w:val="en-GB"/>
        </w:rPr>
        <w:t xml:space="preserve"> number and </w:t>
      </w:r>
      <w:r w:rsidR="00735BEA">
        <w:rPr>
          <w:rFonts w:cs="Times New Roman"/>
          <w:szCs w:val="24"/>
          <w:lang w:val="en-GB"/>
        </w:rPr>
        <w:t xml:space="preserve">relative </w:t>
      </w:r>
      <w:r w:rsidR="00485EC6">
        <w:rPr>
          <w:rFonts w:cs="Times New Roman"/>
          <w:szCs w:val="24"/>
          <w:lang w:val="en-GB"/>
        </w:rPr>
        <w:t>abundance of microbial taxa detected</w:t>
      </w:r>
      <w:r w:rsidR="00C217C3">
        <w:rPr>
          <w:rFonts w:cs="Times New Roman"/>
          <w:szCs w:val="24"/>
          <w:lang w:val="en-GB"/>
        </w:rPr>
        <w:t xml:space="preserve"> differed </w:t>
      </w:r>
      <w:r w:rsidR="00485EC6">
        <w:rPr>
          <w:rFonts w:cs="Times New Roman"/>
          <w:szCs w:val="24"/>
          <w:lang w:val="en-GB"/>
        </w:rPr>
        <w:t>between the two sample types</w:t>
      </w:r>
      <w:r w:rsidR="00860D9C">
        <w:rPr>
          <w:rFonts w:cs="Times New Roman"/>
          <w:szCs w:val="24"/>
          <w:lang w:val="en-GB"/>
        </w:rPr>
        <w:t>. This implies that the microbial sequences found in healthy human blood are</w:t>
      </w:r>
      <w:r w:rsidR="00760737">
        <w:rPr>
          <w:rFonts w:cs="Times New Roman"/>
          <w:szCs w:val="24"/>
          <w:lang w:val="en-GB"/>
        </w:rPr>
        <w:t xml:space="preserve"> more likely to originate from endogenous bacteria rather than</w:t>
      </w:r>
      <w:r w:rsidR="00860D9C">
        <w:rPr>
          <w:rFonts w:cs="Times New Roman"/>
          <w:szCs w:val="24"/>
          <w:lang w:val="en-GB"/>
        </w:rPr>
        <w:t xml:space="preserve"> </w:t>
      </w:r>
      <w:r w:rsidR="00760737">
        <w:rPr>
          <w:rFonts w:cs="Times New Roman"/>
          <w:szCs w:val="24"/>
          <w:lang w:val="en-GB"/>
        </w:rPr>
        <w:t>from</w:t>
      </w:r>
      <w:r w:rsidR="00860D9C">
        <w:rPr>
          <w:rFonts w:cs="Times New Roman"/>
          <w:szCs w:val="24"/>
          <w:lang w:val="en-GB"/>
        </w:rPr>
        <w:t xml:space="preserve"> contaminat</w:t>
      </w:r>
      <w:r w:rsidR="00760737">
        <w:rPr>
          <w:rFonts w:cs="Times New Roman"/>
          <w:szCs w:val="24"/>
          <w:lang w:val="en-GB"/>
        </w:rPr>
        <w:t>ion sources</w:t>
      </w:r>
      <w:r w:rsidR="00860D9C">
        <w:rPr>
          <w:rFonts w:cs="Times New Roman"/>
          <w:szCs w:val="24"/>
          <w:lang w:val="en-GB"/>
        </w:rPr>
        <w:t xml:space="preserve"> during library preparation, </w:t>
      </w:r>
      <w:r w:rsidR="00C217C3">
        <w:rPr>
          <w:rFonts w:cs="Times New Roman"/>
          <w:szCs w:val="24"/>
          <w:lang w:val="en-GB"/>
        </w:rPr>
        <w:t xml:space="preserve">providing </w:t>
      </w:r>
      <w:r w:rsidR="00860D9C">
        <w:rPr>
          <w:rFonts w:cs="Times New Roman"/>
          <w:szCs w:val="24"/>
          <w:lang w:val="en-GB"/>
        </w:rPr>
        <w:t>support</w:t>
      </w:r>
      <w:r w:rsidR="00C217C3">
        <w:rPr>
          <w:rFonts w:cs="Times New Roman"/>
          <w:szCs w:val="24"/>
          <w:lang w:val="en-GB"/>
        </w:rPr>
        <w:t xml:space="preserve"> for the existence of</w:t>
      </w:r>
      <w:r w:rsidR="00860D9C">
        <w:rPr>
          <w:rFonts w:cs="Times New Roman"/>
          <w:szCs w:val="24"/>
          <w:lang w:val="en-GB"/>
        </w:rPr>
        <w:t xml:space="preserve"> a human</w:t>
      </w:r>
      <w:r w:rsidR="00C217C3">
        <w:rPr>
          <w:rFonts w:cs="Times New Roman"/>
          <w:szCs w:val="24"/>
          <w:lang w:val="en-GB"/>
        </w:rPr>
        <w:t xml:space="preserve"> blood microbiome. </w:t>
      </w:r>
      <w:r w:rsidR="00BC2AC9">
        <w:rPr>
          <w:rFonts w:cs="Times New Roman"/>
          <w:szCs w:val="24"/>
          <w:lang w:val="en-GB"/>
        </w:rPr>
        <w:br w:type="page"/>
      </w:r>
    </w:p>
    <w:p w14:paraId="42B93683" w14:textId="30646ED8" w:rsidR="00BC2AC9" w:rsidRDefault="00BC2AC9" w:rsidP="001F51A2">
      <w:pPr>
        <w:pStyle w:val="Heading1"/>
      </w:pPr>
      <w:r>
        <w:lastRenderedPageBreak/>
        <w:t>Results</w:t>
      </w:r>
      <w:r w:rsidR="003A14AE">
        <w:t xml:space="preserve"> (1151)</w:t>
      </w:r>
    </w:p>
    <w:p w14:paraId="0BA9D745" w14:textId="5CD6A7AD" w:rsidR="002F33A7" w:rsidRDefault="002F33A7" w:rsidP="00BD2752">
      <w:pPr>
        <w:pStyle w:val="Heading2"/>
      </w:pPr>
      <w:r>
        <w:t>16S metagenomic sequencing</w:t>
      </w:r>
    </w:p>
    <w:p w14:paraId="30A61C69" w14:textId="3C23667B" w:rsidR="002F33A7" w:rsidRPr="000F2787" w:rsidRDefault="002F33A7" w:rsidP="005E7C09">
      <w:pPr>
        <w:rPr>
          <w:rFonts w:cs="Times New Roman"/>
          <w:szCs w:val="24"/>
        </w:rPr>
      </w:pPr>
      <w:r w:rsidRPr="000F2787">
        <w:rPr>
          <w:rFonts w:cs="Times New Roman"/>
          <w:szCs w:val="24"/>
        </w:rPr>
        <w:t xml:space="preserve">Sequencing of the hypervariable region spanning V3-V4 of the bacterial 16S ribosomal RNA gene was </w:t>
      </w:r>
      <w:proofErr w:type="spellStart"/>
      <w:r w:rsidR="00F6703B" w:rsidRPr="000F2787">
        <w:rPr>
          <w:rFonts w:cs="Times New Roman"/>
          <w:szCs w:val="24"/>
        </w:rPr>
        <w:t>peformed</w:t>
      </w:r>
      <w:proofErr w:type="spellEnd"/>
      <w:r w:rsidRPr="000F2787">
        <w:rPr>
          <w:rFonts w:cs="Times New Roman"/>
          <w:szCs w:val="24"/>
        </w:rPr>
        <w:t xml:space="preserve"> to characterise the microbial composition of 23 healthy human blood samples and five negative water controls. A total of 3,205,568 paired-end reads were generated for all 28 samples in a single sequencing run, and 2,120,549 reads were retained after </w:t>
      </w:r>
      <w:r w:rsidR="00ED4896" w:rsidRPr="000F2787">
        <w:rPr>
          <w:rFonts w:cs="Times New Roman"/>
          <w:szCs w:val="24"/>
        </w:rPr>
        <w:t xml:space="preserve">all </w:t>
      </w:r>
      <w:r w:rsidRPr="000F2787">
        <w:rPr>
          <w:rFonts w:cs="Times New Roman"/>
          <w:szCs w:val="24"/>
        </w:rPr>
        <w:t>read processing</w:t>
      </w:r>
      <w:r w:rsidR="002C4608" w:rsidRPr="000F2787">
        <w:rPr>
          <w:rFonts w:cs="Times New Roman"/>
          <w:szCs w:val="24"/>
        </w:rPr>
        <w:t xml:space="preserve"> </w:t>
      </w:r>
      <w:r w:rsidR="00ED4896" w:rsidRPr="000F2787">
        <w:rPr>
          <w:rFonts w:cs="Times New Roman"/>
          <w:szCs w:val="24"/>
        </w:rPr>
        <w:t>steps</w:t>
      </w:r>
      <w:r w:rsidRPr="000F2787">
        <w:rPr>
          <w:rFonts w:cs="Times New Roman"/>
          <w:szCs w:val="24"/>
        </w:rPr>
        <w:t xml:space="preserve">. The distribution of reads per sample </w:t>
      </w:r>
      <w:r w:rsidR="002C4608" w:rsidRPr="000F2787">
        <w:rPr>
          <w:rFonts w:cs="Times New Roman"/>
          <w:szCs w:val="24"/>
        </w:rPr>
        <w:t xml:space="preserve">before and after these processing steps </w:t>
      </w:r>
      <w:r w:rsidR="00ED4896" w:rsidRPr="000F2787">
        <w:rPr>
          <w:rFonts w:cs="Times New Roman"/>
          <w:szCs w:val="24"/>
        </w:rPr>
        <w:t>(</w:t>
      </w:r>
      <w:r w:rsidRPr="000F2787">
        <w:rPr>
          <w:rFonts w:cs="Times New Roman"/>
          <w:b/>
          <w:bCs/>
          <w:szCs w:val="24"/>
        </w:rPr>
        <w:t>Figure 1</w:t>
      </w:r>
      <w:r w:rsidR="00ED4896" w:rsidRPr="000F2787">
        <w:rPr>
          <w:rFonts w:cs="Times New Roman"/>
          <w:szCs w:val="24"/>
        </w:rPr>
        <w:t>) suggests that</w:t>
      </w:r>
      <w:r w:rsidR="004A52BD" w:rsidRPr="000F2787">
        <w:rPr>
          <w:rFonts w:cs="Times New Roman"/>
          <w:szCs w:val="24"/>
        </w:rPr>
        <w:t xml:space="preserve"> </w:t>
      </w:r>
      <w:r w:rsidR="002C4608" w:rsidRPr="000F2787">
        <w:rPr>
          <w:rFonts w:cs="Times New Roman"/>
          <w:szCs w:val="24"/>
        </w:rPr>
        <w:t xml:space="preserve">most samples </w:t>
      </w:r>
      <w:r w:rsidR="00C80A5C" w:rsidRPr="000F2787">
        <w:rPr>
          <w:rFonts w:cs="Times New Roman"/>
          <w:szCs w:val="24"/>
        </w:rPr>
        <w:t xml:space="preserve">had a reasonable sequencing depth and overall read </w:t>
      </w:r>
      <w:r w:rsidR="004A52BD" w:rsidRPr="000F2787">
        <w:rPr>
          <w:rFonts w:cs="Times New Roman"/>
          <w:szCs w:val="24"/>
        </w:rPr>
        <w:t>quality</w:t>
      </w:r>
      <w:r w:rsidRPr="000F2787">
        <w:rPr>
          <w:rFonts w:cs="Times New Roman"/>
          <w:szCs w:val="24"/>
        </w:rPr>
        <w:t>.</w:t>
      </w:r>
      <w:r w:rsidR="00480FD9" w:rsidRPr="000F2787">
        <w:rPr>
          <w:rFonts w:cs="Times New Roman"/>
          <w:szCs w:val="24"/>
        </w:rPr>
        <w:t xml:space="preserve"> Two negative controls with less than 10,000 reads </w:t>
      </w:r>
      <w:r w:rsidR="001834F8" w:rsidRPr="000F2787">
        <w:rPr>
          <w:rFonts w:cs="Times New Roman"/>
          <w:szCs w:val="24"/>
        </w:rPr>
        <w:t>are</w:t>
      </w:r>
      <w:r w:rsidR="00480FD9" w:rsidRPr="000F2787">
        <w:rPr>
          <w:rFonts w:cs="Times New Roman"/>
          <w:szCs w:val="24"/>
        </w:rPr>
        <w:t xml:space="preserve"> </w:t>
      </w:r>
      <w:r w:rsidR="001834F8" w:rsidRPr="000F2787">
        <w:rPr>
          <w:rFonts w:cs="Times New Roman"/>
          <w:szCs w:val="24"/>
        </w:rPr>
        <w:t xml:space="preserve">considered potentially problematic </w:t>
      </w:r>
      <w:r w:rsidR="008E5CE3" w:rsidRPr="000F2787">
        <w:rPr>
          <w:rFonts w:cs="Times New Roman"/>
          <w:szCs w:val="24"/>
        </w:rPr>
        <w:t>samples but</w:t>
      </w:r>
      <w:r w:rsidR="001834F8" w:rsidRPr="000F2787">
        <w:rPr>
          <w:rFonts w:cs="Times New Roman"/>
          <w:szCs w:val="24"/>
        </w:rPr>
        <w:t xml:space="preserve"> were not excluded from further analysis to </w:t>
      </w:r>
      <w:r w:rsidR="0054410C" w:rsidRPr="000F2787">
        <w:rPr>
          <w:rFonts w:cs="Times New Roman"/>
          <w:szCs w:val="24"/>
        </w:rPr>
        <w:t xml:space="preserve">avoid </w:t>
      </w:r>
      <w:r w:rsidR="001834F8" w:rsidRPr="000F2787">
        <w:rPr>
          <w:rFonts w:cs="Times New Roman"/>
          <w:szCs w:val="24"/>
        </w:rPr>
        <w:t xml:space="preserve">introducing additional biases. </w:t>
      </w:r>
    </w:p>
    <w:p w14:paraId="0FF306A2" w14:textId="0C4C6FAE" w:rsidR="002F33A7" w:rsidRDefault="004A52BD" w:rsidP="002F33A7">
      <w:r w:rsidRPr="004A52BD">
        <w:rPr>
          <w:noProof/>
        </w:rPr>
        <w:drawing>
          <wp:inline distT="0" distB="0" distL="0" distR="0" wp14:anchorId="212DBCCF" wp14:editId="6B650B4C">
            <wp:extent cx="4314825" cy="2771775"/>
            <wp:effectExtent l="0" t="0" r="9525"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4314825" cy="2771775"/>
                    </a:xfrm>
                    <a:prstGeom prst="rect">
                      <a:avLst/>
                    </a:prstGeom>
                  </pic:spPr>
                </pic:pic>
              </a:graphicData>
            </a:graphic>
          </wp:inline>
        </w:drawing>
      </w:r>
    </w:p>
    <w:p w14:paraId="31EB72F6" w14:textId="6B89A7EC" w:rsidR="002F33A7" w:rsidRPr="000F2787" w:rsidRDefault="005E7C09" w:rsidP="007F0B09">
      <w:pPr>
        <w:rPr>
          <w:rFonts w:cs="Times New Roman"/>
        </w:rPr>
      </w:pPr>
      <w:r w:rsidRPr="000F2787">
        <w:rPr>
          <w:rFonts w:cs="Times New Roman"/>
          <w:b/>
          <w:bCs/>
        </w:rPr>
        <w:t>Figure 1</w:t>
      </w:r>
      <w:r w:rsidR="00585DF8" w:rsidRPr="000F2787">
        <w:rPr>
          <w:rFonts w:cs="Times New Roman"/>
          <w:b/>
          <w:bCs/>
        </w:rPr>
        <w:t>. Per</w:t>
      </w:r>
      <w:r w:rsidR="00B52982" w:rsidRPr="000F2787">
        <w:rPr>
          <w:rFonts w:cs="Times New Roman"/>
          <w:b/>
          <w:bCs/>
        </w:rPr>
        <w:t>-</w:t>
      </w:r>
      <w:r w:rsidR="00585DF8" w:rsidRPr="000F2787">
        <w:rPr>
          <w:rFonts w:cs="Times New Roman"/>
          <w:b/>
          <w:bCs/>
        </w:rPr>
        <w:t xml:space="preserve">sample distribution of reads. </w:t>
      </w:r>
      <w:r w:rsidR="00585DF8" w:rsidRPr="000F2787">
        <w:rPr>
          <w:rFonts w:cs="Times New Roman"/>
        </w:rPr>
        <w:t xml:space="preserve">The read counts of samples before and after all read processing steps </w:t>
      </w:r>
      <w:r w:rsidR="00B5170C" w:rsidRPr="000F2787">
        <w:rPr>
          <w:rFonts w:cs="Times New Roman"/>
        </w:rPr>
        <w:t>were extracted from the respective FASTQ files and visualised</w:t>
      </w:r>
      <w:r w:rsidR="00585DF8" w:rsidRPr="000F2787">
        <w:rPr>
          <w:rFonts w:cs="Times New Roman"/>
        </w:rPr>
        <w:t xml:space="preserve">. The black dashed line indicates the read count threshold of 10,000 reads. Negative controls that were excluded are denoted by red boxes. </w:t>
      </w:r>
    </w:p>
    <w:p w14:paraId="2A5A4459" w14:textId="585B07A9" w:rsidR="00BD2752" w:rsidRDefault="00BD2752" w:rsidP="003B6FD2">
      <w:pPr>
        <w:pStyle w:val="Heading2"/>
      </w:pPr>
      <w:r w:rsidRPr="00B94335">
        <w:t xml:space="preserve">Microbial composition of healthy human blood </w:t>
      </w:r>
      <w:r>
        <w:t>is distinct from</w:t>
      </w:r>
      <w:r w:rsidRPr="00B94335">
        <w:t xml:space="preserve"> that of negative </w:t>
      </w:r>
      <w:proofErr w:type="gramStart"/>
      <w:r w:rsidRPr="00B94335">
        <w:t>controls</w:t>
      </w:r>
      <w:proofErr w:type="gramEnd"/>
    </w:p>
    <w:p w14:paraId="467F9BFD" w14:textId="1EDADECD" w:rsidR="00F6417A" w:rsidRPr="000F2787" w:rsidRDefault="006C02B7" w:rsidP="00AE0FE8">
      <w:pPr>
        <w:rPr>
          <w:rFonts w:cs="Times New Roman"/>
          <w:szCs w:val="24"/>
        </w:rPr>
      </w:pPr>
      <w:r w:rsidRPr="000F2787">
        <w:rPr>
          <w:rFonts w:cs="Times New Roman"/>
          <w:szCs w:val="24"/>
        </w:rPr>
        <w:t>Taxonomic classification of the</w:t>
      </w:r>
      <w:r w:rsidR="00610210" w:rsidRPr="000F2787">
        <w:rPr>
          <w:rFonts w:cs="Times New Roman"/>
          <w:szCs w:val="24"/>
        </w:rPr>
        <w:t xml:space="preserve"> processed reads </w:t>
      </w:r>
      <w:r w:rsidRPr="000F2787">
        <w:rPr>
          <w:rFonts w:cs="Times New Roman"/>
          <w:szCs w:val="24"/>
        </w:rPr>
        <w:t>for each sample was performed using Kraken 2</w:t>
      </w:r>
      <w:r w:rsidR="00610210" w:rsidRPr="000F2787">
        <w:rPr>
          <w:rFonts w:cs="Times New Roman"/>
          <w:szCs w:val="24"/>
        </w:rPr>
        <w:t xml:space="preserve"> </w:t>
      </w:r>
      <w:r w:rsidRPr="000F2787">
        <w:rPr>
          <w:rFonts w:cs="Times New Roman"/>
          <w:szCs w:val="24"/>
        </w:rPr>
        <w:fldChar w:fldCharType="begin" w:fldLock="1"/>
      </w:r>
      <w:r w:rsidRPr="000F2787">
        <w:rPr>
          <w:rFonts w:cs="Times New Roman"/>
          <w:szCs w:val="24"/>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rsidRPr="000F2787">
        <w:rPr>
          <w:rFonts w:cs="Times New Roman"/>
          <w:szCs w:val="24"/>
        </w:rPr>
        <w:fldChar w:fldCharType="separate"/>
      </w:r>
      <w:r w:rsidRPr="000F2787">
        <w:rPr>
          <w:rFonts w:cs="Times New Roman"/>
          <w:noProof/>
          <w:szCs w:val="24"/>
        </w:rPr>
        <w:t>(Wood, Lu and Langmead, 2019)</w:t>
      </w:r>
      <w:r w:rsidRPr="000F2787">
        <w:rPr>
          <w:rFonts w:cs="Times New Roman"/>
          <w:szCs w:val="24"/>
        </w:rPr>
        <w:fldChar w:fldCharType="end"/>
      </w:r>
      <w:r w:rsidRPr="000F2787">
        <w:rPr>
          <w:rFonts w:cs="Times New Roman"/>
          <w:szCs w:val="24"/>
        </w:rPr>
        <w:t xml:space="preserve">, and with the SILVA database </w:t>
      </w:r>
      <w:r w:rsidRPr="000F2787">
        <w:rPr>
          <w:rFonts w:cs="Times New Roman"/>
          <w:szCs w:val="24"/>
        </w:rPr>
        <w:fldChar w:fldCharType="begin" w:fldLock="1"/>
      </w:r>
      <w:r w:rsidR="00607073" w:rsidRPr="000F2787">
        <w:rPr>
          <w:rFonts w:cs="Times New Roman"/>
          <w:szCs w:val="24"/>
        </w:rPr>
        <w:instrText>ADDIN CSL_CITATION {"citationItems":[{"id":"ITEM-1","itemData":{"ISSN":"0305-1048","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research","id":"ITEM-1","issue":"D1","issued":{"date-parts":[["2012"]]},"page":"D590-D596","publisher":"Oxford University Press","title":"The SILVA ribosomal RNA gene database project: improved data processing and web-based tools","type":"article-journal","volume":"41"},"uris":["http://www.mendeley.com/documents/?uuid=3e089434-60dd-4533-92f4-36228b4271c8"]}],"mendeley":{"formattedCitation":"(Quast &lt;i&gt;et al.&lt;/i&gt;, 2012)","plainTextFormattedCitation":"(Quast et al., 2012)","previouslyFormattedCitation":"(Quast &lt;i&gt;et al.&lt;/i&gt;, 2012)"},"properties":{"noteIndex":0},"schema":"https://github.com/citation-style-language/schema/raw/master/csl-citation.json"}</w:instrText>
      </w:r>
      <w:r w:rsidRPr="000F2787">
        <w:rPr>
          <w:rFonts w:cs="Times New Roman"/>
          <w:szCs w:val="24"/>
        </w:rPr>
        <w:fldChar w:fldCharType="separate"/>
      </w:r>
      <w:r w:rsidRPr="000F2787">
        <w:rPr>
          <w:rFonts w:cs="Times New Roman"/>
          <w:noProof/>
          <w:szCs w:val="24"/>
        </w:rPr>
        <w:t xml:space="preserve">(Quast </w:t>
      </w:r>
      <w:r w:rsidRPr="000F2787">
        <w:rPr>
          <w:rFonts w:cs="Times New Roman"/>
          <w:i/>
          <w:noProof/>
          <w:szCs w:val="24"/>
        </w:rPr>
        <w:t>et al.</w:t>
      </w:r>
      <w:r w:rsidRPr="000F2787">
        <w:rPr>
          <w:rFonts w:cs="Times New Roman"/>
          <w:noProof/>
          <w:szCs w:val="24"/>
        </w:rPr>
        <w:t>, 2012)</w:t>
      </w:r>
      <w:r w:rsidRPr="000F2787">
        <w:rPr>
          <w:rFonts w:cs="Times New Roman"/>
          <w:szCs w:val="24"/>
        </w:rPr>
        <w:fldChar w:fldCharType="end"/>
      </w:r>
      <w:r w:rsidRPr="000F2787">
        <w:rPr>
          <w:rFonts w:cs="Times New Roman"/>
          <w:szCs w:val="24"/>
        </w:rPr>
        <w:t>.</w:t>
      </w:r>
      <w:r w:rsidR="007F0B09" w:rsidRPr="000F2787">
        <w:rPr>
          <w:rFonts w:cs="Times New Roman"/>
          <w:szCs w:val="24"/>
        </w:rPr>
        <w:t xml:space="preserve"> The taxonomic assignments were used to calculate the relative abundance of genera in each s</w:t>
      </w:r>
      <w:r w:rsidR="001D4937" w:rsidRPr="000F2787">
        <w:rPr>
          <w:rFonts w:cs="Times New Roman"/>
          <w:szCs w:val="24"/>
        </w:rPr>
        <w:t xml:space="preserve">ample </w:t>
      </w:r>
      <w:r w:rsidR="007F0B09" w:rsidRPr="000F2787">
        <w:rPr>
          <w:rFonts w:cs="Times New Roman"/>
          <w:szCs w:val="24"/>
        </w:rPr>
        <w:t xml:space="preserve">(see </w:t>
      </w:r>
      <w:r w:rsidR="007F0B09" w:rsidRPr="000F2787">
        <w:rPr>
          <w:rFonts w:cs="Times New Roman"/>
          <w:i/>
          <w:iCs/>
          <w:szCs w:val="24"/>
        </w:rPr>
        <w:t>Methods</w:t>
      </w:r>
      <w:r w:rsidR="007F0B09" w:rsidRPr="000F2787">
        <w:rPr>
          <w:rFonts w:cs="Times New Roman"/>
          <w:szCs w:val="24"/>
        </w:rPr>
        <w:t>).</w:t>
      </w:r>
      <w:r w:rsidR="0015670C" w:rsidRPr="000F2787">
        <w:rPr>
          <w:rFonts w:cs="Times New Roman"/>
          <w:szCs w:val="24"/>
        </w:rPr>
        <w:t xml:space="preserve"> </w:t>
      </w:r>
      <w:r w:rsidR="000C6C07" w:rsidRPr="000F2787">
        <w:rPr>
          <w:rFonts w:cs="Times New Roman"/>
          <w:szCs w:val="24"/>
        </w:rPr>
        <w:t xml:space="preserve">The relative abundance of the </w:t>
      </w:r>
      <w:r w:rsidR="007F0B09" w:rsidRPr="000F2787">
        <w:rPr>
          <w:rFonts w:cs="Times New Roman"/>
          <w:szCs w:val="24"/>
        </w:rPr>
        <w:t>eight most abundant genera</w:t>
      </w:r>
      <w:r w:rsidR="000C6C07" w:rsidRPr="000F2787">
        <w:rPr>
          <w:rFonts w:cs="Times New Roman"/>
          <w:szCs w:val="24"/>
        </w:rPr>
        <w:t xml:space="preserve"> in blood samples and in controls were visually distinct (</w:t>
      </w:r>
      <w:r w:rsidR="000C6C07" w:rsidRPr="000F2787">
        <w:rPr>
          <w:rFonts w:cs="Times New Roman"/>
          <w:b/>
          <w:bCs/>
          <w:szCs w:val="24"/>
        </w:rPr>
        <w:t>Figure 2a</w:t>
      </w:r>
      <w:r w:rsidR="000C6C07" w:rsidRPr="000F2787">
        <w:rPr>
          <w:rFonts w:cs="Times New Roman"/>
          <w:szCs w:val="24"/>
        </w:rPr>
        <w:t xml:space="preserve">). For example, </w:t>
      </w:r>
      <w:r w:rsidR="00DC4014" w:rsidRPr="000F2787">
        <w:rPr>
          <w:rFonts w:cs="Times New Roman"/>
          <w:i/>
          <w:iCs/>
          <w:szCs w:val="24"/>
        </w:rPr>
        <w:t xml:space="preserve">Bifidobacterium </w:t>
      </w:r>
      <w:r w:rsidR="00DC4014" w:rsidRPr="000F2787">
        <w:rPr>
          <w:rFonts w:cs="Times New Roman"/>
          <w:szCs w:val="24"/>
        </w:rPr>
        <w:t>predomina</w:t>
      </w:r>
      <w:r w:rsidR="008E5CE3" w:rsidRPr="000F2787">
        <w:rPr>
          <w:rFonts w:cs="Times New Roman"/>
          <w:szCs w:val="24"/>
        </w:rPr>
        <w:t xml:space="preserve">tes </w:t>
      </w:r>
      <w:r w:rsidR="00DC4014" w:rsidRPr="000F2787">
        <w:rPr>
          <w:rFonts w:cs="Times New Roman"/>
          <w:szCs w:val="24"/>
        </w:rPr>
        <w:t>in blood</w:t>
      </w:r>
      <w:r w:rsidR="000C6C07" w:rsidRPr="000F2787">
        <w:rPr>
          <w:rFonts w:cs="Times New Roman"/>
          <w:szCs w:val="24"/>
        </w:rPr>
        <w:t xml:space="preserve"> samples</w:t>
      </w:r>
      <w:r w:rsidR="00033D34" w:rsidRPr="000F2787">
        <w:rPr>
          <w:rFonts w:cs="Times New Roman"/>
          <w:szCs w:val="24"/>
        </w:rPr>
        <w:t>,</w:t>
      </w:r>
      <w:r w:rsidR="00DC4014" w:rsidRPr="000F2787">
        <w:rPr>
          <w:rFonts w:cs="Times New Roman"/>
          <w:szCs w:val="24"/>
        </w:rPr>
        <w:t xml:space="preserve"> but not in the negative controls</w:t>
      </w:r>
      <w:r w:rsidR="000C6C07" w:rsidRPr="000F2787">
        <w:rPr>
          <w:rFonts w:cs="Times New Roman"/>
          <w:szCs w:val="24"/>
        </w:rPr>
        <w:t xml:space="preserve">. </w:t>
      </w:r>
      <w:r w:rsidR="00DD7F19" w:rsidRPr="000F2787">
        <w:rPr>
          <w:rFonts w:cs="Times New Roman"/>
          <w:szCs w:val="24"/>
        </w:rPr>
        <w:t xml:space="preserve">To </w:t>
      </w:r>
      <w:r w:rsidR="0015670C" w:rsidRPr="000F2787">
        <w:rPr>
          <w:rFonts w:cs="Times New Roman"/>
          <w:szCs w:val="24"/>
        </w:rPr>
        <w:t xml:space="preserve">determine </w:t>
      </w:r>
      <w:r w:rsidR="00DD7F19" w:rsidRPr="000F2787">
        <w:rPr>
          <w:rFonts w:cs="Times New Roman"/>
          <w:szCs w:val="24"/>
        </w:rPr>
        <w:t>if the diversity of microbial sequences differed between the sample types</w:t>
      </w:r>
      <w:r w:rsidR="00607073" w:rsidRPr="000F2787">
        <w:rPr>
          <w:rFonts w:cs="Times New Roman"/>
          <w:szCs w:val="24"/>
        </w:rPr>
        <w:t xml:space="preserve">, the </w:t>
      </w:r>
      <w:r w:rsidR="00A571BB" w:rsidRPr="000F2787">
        <w:rPr>
          <w:rFonts w:cs="Times New Roman"/>
          <w:szCs w:val="24"/>
        </w:rPr>
        <w:t xml:space="preserve">genus richness and </w:t>
      </w:r>
      <w:r w:rsidR="00607073" w:rsidRPr="000F2787">
        <w:rPr>
          <w:rFonts w:cs="Times New Roman"/>
          <w:szCs w:val="24"/>
        </w:rPr>
        <w:t>Shannon</w:t>
      </w:r>
      <w:r w:rsidR="00765F48" w:rsidRPr="000F2787">
        <w:rPr>
          <w:rFonts w:cs="Times New Roman"/>
          <w:szCs w:val="24"/>
        </w:rPr>
        <w:t xml:space="preserve"> </w:t>
      </w:r>
      <w:r w:rsidR="007C70D2" w:rsidRPr="000F2787">
        <w:rPr>
          <w:rFonts w:cs="Times New Roman"/>
          <w:szCs w:val="24"/>
        </w:rPr>
        <w:t xml:space="preserve">index </w:t>
      </w:r>
      <w:r w:rsidR="00607073" w:rsidRPr="000F2787">
        <w:rPr>
          <w:rFonts w:cs="Times New Roman"/>
          <w:szCs w:val="24"/>
        </w:rPr>
        <w:fldChar w:fldCharType="begin" w:fldLock="1"/>
      </w:r>
      <w:r w:rsidR="00CB603D">
        <w:rPr>
          <w:rFonts w:cs="Times New Roman"/>
          <w:szCs w:val="24"/>
        </w:rPr>
        <w:instrText>ADDIN CSL_CITATION {"citationItems":[{"id":"ITEM-1","itemData":{"ISSN":"0005-8580","author":[{"dropping-particle":"","family":"Shannon","given":"Claude E","non-dropping-particle":"","parse-names":false,"suffix":""}],"container-title":"The Bell system technical journal","id":"ITEM-1","issue":"3","issued":{"date-parts":[["1948"]]},"page":"379-423","publisher":"Nokia Bell Labs","title":"A mathematical theory of communication","type":"article-journal","volume":"27"},"uris":["http://www.mendeley.com/documents/?uuid=a4263a8a-2690-4d9d-b50e-eef6a5c25161"]}],"mendeley":{"formattedCitation":"(Shannon, 1948)","plainTextFormattedCitation":"(Shannon, 1948)","previouslyFormattedCitation":"(Shannon, 1948)"},"properties":{"noteIndex":0},"schema":"https://github.com/citation-style-language/schema/raw/master/csl-citation.json"}</w:instrText>
      </w:r>
      <w:r w:rsidR="00607073" w:rsidRPr="000F2787">
        <w:rPr>
          <w:rFonts w:cs="Times New Roman"/>
          <w:szCs w:val="24"/>
        </w:rPr>
        <w:fldChar w:fldCharType="separate"/>
      </w:r>
      <w:r w:rsidR="00607073" w:rsidRPr="000F2787">
        <w:rPr>
          <w:rFonts w:cs="Times New Roman"/>
          <w:noProof/>
          <w:szCs w:val="24"/>
        </w:rPr>
        <w:t>(Shannon, 1948)</w:t>
      </w:r>
      <w:r w:rsidR="00607073" w:rsidRPr="000F2787">
        <w:rPr>
          <w:rFonts w:cs="Times New Roman"/>
          <w:szCs w:val="24"/>
        </w:rPr>
        <w:fldChar w:fldCharType="end"/>
      </w:r>
      <w:r w:rsidR="00A571BB" w:rsidRPr="000F2787">
        <w:rPr>
          <w:rFonts w:cs="Times New Roman"/>
          <w:szCs w:val="24"/>
        </w:rPr>
        <w:t xml:space="preserve"> </w:t>
      </w:r>
      <w:r w:rsidR="00ED3DEF" w:rsidRPr="000F2787">
        <w:rPr>
          <w:rFonts w:cs="Times New Roman"/>
          <w:szCs w:val="24"/>
        </w:rPr>
        <w:t>for each sample was compared</w:t>
      </w:r>
      <w:r w:rsidR="00A571BB" w:rsidRPr="000F2787">
        <w:rPr>
          <w:rFonts w:cs="Times New Roman"/>
          <w:szCs w:val="24"/>
        </w:rPr>
        <w:t xml:space="preserve">. </w:t>
      </w:r>
      <w:r w:rsidR="00ED3DEF" w:rsidRPr="000F2787">
        <w:rPr>
          <w:rFonts w:cs="Times New Roman"/>
          <w:szCs w:val="24"/>
        </w:rPr>
        <w:t>Rarefaction was performed t</w:t>
      </w:r>
      <w:r w:rsidR="005468E7" w:rsidRPr="000F2787">
        <w:rPr>
          <w:rFonts w:cs="Times New Roman"/>
          <w:szCs w:val="24"/>
        </w:rPr>
        <w:t xml:space="preserve">o account for the </w:t>
      </w:r>
      <w:r w:rsidR="00A571BB" w:rsidRPr="000F2787">
        <w:rPr>
          <w:rFonts w:cs="Times New Roman"/>
          <w:szCs w:val="24"/>
        </w:rPr>
        <w:t>different sequencing depth</w:t>
      </w:r>
      <w:r w:rsidR="005468E7" w:rsidRPr="000F2787">
        <w:rPr>
          <w:rFonts w:cs="Times New Roman"/>
          <w:szCs w:val="24"/>
        </w:rPr>
        <w:t>s</w:t>
      </w:r>
      <w:r w:rsidR="00ED3DEF" w:rsidRPr="000F2787">
        <w:rPr>
          <w:rFonts w:cs="Times New Roman"/>
          <w:szCs w:val="24"/>
        </w:rPr>
        <w:t xml:space="preserve"> for each sample</w:t>
      </w:r>
      <w:r w:rsidR="005468E7" w:rsidRPr="000F2787">
        <w:rPr>
          <w:rFonts w:cs="Times New Roman"/>
          <w:szCs w:val="24"/>
        </w:rPr>
        <w:t xml:space="preserve"> </w:t>
      </w:r>
      <w:r w:rsidR="00A571BB" w:rsidRPr="000F2787">
        <w:rPr>
          <w:rFonts w:cs="Times New Roman"/>
          <w:szCs w:val="24"/>
        </w:rPr>
        <w:t>(</w:t>
      </w:r>
      <w:r w:rsidR="00A571BB" w:rsidRPr="000F2787">
        <w:rPr>
          <w:rFonts w:cs="Times New Roman"/>
          <w:b/>
          <w:bCs/>
          <w:szCs w:val="24"/>
        </w:rPr>
        <w:t>Figure 1</w:t>
      </w:r>
      <w:r w:rsidR="00A571BB" w:rsidRPr="000F2787">
        <w:rPr>
          <w:rFonts w:cs="Times New Roman"/>
          <w:szCs w:val="24"/>
        </w:rPr>
        <w:t>)</w:t>
      </w:r>
      <w:r w:rsidR="00ED3DEF" w:rsidRPr="000F2787">
        <w:rPr>
          <w:rFonts w:cs="Times New Roman"/>
          <w:szCs w:val="24"/>
        </w:rPr>
        <w:t xml:space="preserve">. </w:t>
      </w:r>
      <w:r w:rsidR="00835D02" w:rsidRPr="000F2787">
        <w:rPr>
          <w:rFonts w:cs="Times New Roman"/>
          <w:szCs w:val="24"/>
        </w:rPr>
        <w:t xml:space="preserve">Blood samples and controls had </w:t>
      </w:r>
      <w:r w:rsidR="00F77848" w:rsidRPr="000F2787">
        <w:rPr>
          <w:rFonts w:cs="Times New Roman"/>
          <w:szCs w:val="24"/>
        </w:rPr>
        <w:t>comparable</w:t>
      </w:r>
      <w:r w:rsidR="00835D02" w:rsidRPr="000F2787">
        <w:rPr>
          <w:rFonts w:cs="Times New Roman"/>
          <w:szCs w:val="24"/>
        </w:rPr>
        <w:t xml:space="preserve"> genus richness, </w:t>
      </w:r>
      <w:r w:rsidR="00835D02" w:rsidRPr="000F2787">
        <w:rPr>
          <w:rFonts w:cs="Times New Roman"/>
          <w:szCs w:val="24"/>
        </w:rPr>
        <w:lastRenderedPageBreak/>
        <w:t xml:space="preserve">but </w:t>
      </w:r>
      <w:r w:rsidR="00CF3274" w:rsidRPr="000F2787">
        <w:rPr>
          <w:rFonts w:cs="Times New Roman"/>
          <w:szCs w:val="24"/>
        </w:rPr>
        <w:t>blood samples</w:t>
      </w:r>
      <w:r w:rsidR="00835D02" w:rsidRPr="000F2787">
        <w:rPr>
          <w:rFonts w:cs="Times New Roman"/>
          <w:szCs w:val="24"/>
        </w:rPr>
        <w:t xml:space="preserve"> had a visibly </w:t>
      </w:r>
      <w:r w:rsidR="00CF3274" w:rsidRPr="000F2787">
        <w:rPr>
          <w:rFonts w:cs="Times New Roman"/>
          <w:szCs w:val="24"/>
        </w:rPr>
        <w:t>lower</w:t>
      </w:r>
      <w:r w:rsidR="00835D02" w:rsidRPr="000F2787">
        <w:rPr>
          <w:rFonts w:cs="Times New Roman"/>
          <w:szCs w:val="24"/>
        </w:rPr>
        <w:t xml:space="preserve"> Shannon </w:t>
      </w:r>
      <w:r w:rsidR="007C70D2" w:rsidRPr="000F2787">
        <w:rPr>
          <w:rFonts w:cs="Times New Roman"/>
          <w:szCs w:val="24"/>
        </w:rPr>
        <w:t>index</w:t>
      </w:r>
      <w:r w:rsidR="00835D02" w:rsidRPr="000F2787">
        <w:rPr>
          <w:rFonts w:cs="Times New Roman"/>
          <w:szCs w:val="24"/>
        </w:rPr>
        <w:t xml:space="preserve"> (</w:t>
      </w:r>
      <w:r w:rsidR="00835D02" w:rsidRPr="000F2787">
        <w:rPr>
          <w:rFonts w:cs="Times New Roman"/>
          <w:b/>
          <w:bCs/>
          <w:szCs w:val="24"/>
        </w:rPr>
        <w:t>Figure 2b</w:t>
      </w:r>
      <w:r w:rsidR="00835D02" w:rsidRPr="000F2787">
        <w:rPr>
          <w:rFonts w:cs="Times New Roman"/>
          <w:szCs w:val="24"/>
        </w:rPr>
        <w:t>).</w:t>
      </w:r>
      <w:r w:rsidR="007D35C3" w:rsidRPr="000F2787">
        <w:rPr>
          <w:rFonts w:cs="Times New Roman"/>
          <w:szCs w:val="24"/>
        </w:rPr>
        <w:t xml:space="preserve"> The Shannon index is a measure of both the </w:t>
      </w:r>
      <w:r w:rsidR="00835D02" w:rsidRPr="000F2787">
        <w:rPr>
          <w:rFonts w:cs="Times New Roman"/>
          <w:szCs w:val="24"/>
        </w:rPr>
        <w:t>number of genera (</w:t>
      </w:r>
      <w:proofErr w:type="gramStart"/>
      <w:r w:rsidR="00835D02" w:rsidRPr="000F2787">
        <w:rPr>
          <w:rFonts w:cs="Times New Roman"/>
          <w:i/>
          <w:iCs/>
          <w:szCs w:val="24"/>
        </w:rPr>
        <w:t>i.e.</w:t>
      </w:r>
      <w:proofErr w:type="gramEnd"/>
      <w:r w:rsidR="00835D02" w:rsidRPr="000F2787">
        <w:rPr>
          <w:rFonts w:cs="Times New Roman"/>
          <w:szCs w:val="24"/>
        </w:rPr>
        <w:t xml:space="preserve"> richness)</w:t>
      </w:r>
      <w:r w:rsidR="007D35C3" w:rsidRPr="000F2787">
        <w:rPr>
          <w:rFonts w:cs="Times New Roman"/>
          <w:szCs w:val="24"/>
        </w:rPr>
        <w:t xml:space="preserve"> and how equal the relative abundance of genera are (</w:t>
      </w:r>
      <w:r w:rsidR="007D35C3" w:rsidRPr="000F2787">
        <w:rPr>
          <w:rFonts w:cs="Times New Roman"/>
          <w:i/>
          <w:iCs/>
          <w:szCs w:val="24"/>
        </w:rPr>
        <w:t>i.e.</w:t>
      </w:r>
      <w:r w:rsidR="007D35C3" w:rsidRPr="000F2787">
        <w:rPr>
          <w:rFonts w:cs="Times New Roman"/>
          <w:szCs w:val="24"/>
        </w:rPr>
        <w:t xml:space="preserve"> evenness)</w:t>
      </w:r>
      <w:r w:rsidR="00765F48" w:rsidRPr="000F2787">
        <w:rPr>
          <w:rFonts w:cs="Times New Roman"/>
          <w:szCs w:val="24"/>
        </w:rPr>
        <w:t>.</w:t>
      </w:r>
      <w:r w:rsidR="00F77848" w:rsidRPr="000F2787">
        <w:rPr>
          <w:rFonts w:cs="Times New Roman"/>
          <w:szCs w:val="24"/>
        </w:rPr>
        <w:t xml:space="preserve"> </w:t>
      </w:r>
      <w:r w:rsidR="00765F48" w:rsidRPr="000F2787">
        <w:rPr>
          <w:rFonts w:cs="Times New Roman"/>
          <w:szCs w:val="24"/>
        </w:rPr>
        <w:t xml:space="preserve">A </w:t>
      </w:r>
      <w:r w:rsidR="002014AD" w:rsidRPr="000F2787">
        <w:rPr>
          <w:rFonts w:cs="Times New Roman"/>
          <w:szCs w:val="24"/>
        </w:rPr>
        <w:t>higher</w:t>
      </w:r>
      <w:r w:rsidR="00726372" w:rsidRPr="000F2787">
        <w:rPr>
          <w:rFonts w:cs="Times New Roman"/>
          <w:szCs w:val="24"/>
        </w:rPr>
        <w:t xml:space="preserve"> </w:t>
      </w:r>
      <w:r w:rsidR="00765F48" w:rsidRPr="000F2787">
        <w:rPr>
          <w:rFonts w:cs="Times New Roman"/>
          <w:szCs w:val="24"/>
        </w:rPr>
        <w:t>Shannon index</w:t>
      </w:r>
      <w:r w:rsidR="002014AD" w:rsidRPr="000F2787">
        <w:rPr>
          <w:rFonts w:cs="Times New Roman"/>
          <w:szCs w:val="24"/>
        </w:rPr>
        <w:t xml:space="preserve"> indicates </w:t>
      </w:r>
      <w:r w:rsidR="00F77848" w:rsidRPr="000F2787">
        <w:rPr>
          <w:rFonts w:cs="Times New Roman"/>
          <w:szCs w:val="24"/>
        </w:rPr>
        <w:t>a higher</w:t>
      </w:r>
      <w:r w:rsidR="002014AD" w:rsidRPr="000F2787">
        <w:rPr>
          <w:rFonts w:cs="Times New Roman"/>
          <w:szCs w:val="24"/>
        </w:rPr>
        <w:t xml:space="preserve"> </w:t>
      </w:r>
      <w:r w:rsidR="00765F48" w:rsidRPr="000F2787">
        <w:rPr>
          <w:rFonts w:cs="Times New Roman"/>
          <w:szCs w:val="24"/>
        </w:rPr>
        <w:t>richness and</w:t>
      </w:r>
      <w:r w:rsidR="00F77848" w:rsidRPr="000F2787">
        <w:rPr>
          <w:rFonts w:cs="Times New Roman"/>
          <w:szCs w:val="24"/>
        </w:rPr>
        <w:t>/or</w:t>
      </w:r>
      <w:r w:rsidR="00765F48" w:rsidRPr="000F2787">
        <w:rPr>
          <w:rFonts w:cs="Times New Roman"/>
          <w:szCs w:val="24"/>
        </w:rPr>
        <w:t xml:space="preserve"> evenness</w:t>
      </w:r>
      <w:r w:rsidR="007D35C3" w:rsidRPr="000F2787">
        <w:rPr>
          <w:rFonts w:cs="Times New Roman"/>
          <w:szCs w:val="24"/>
        </w:rPr>
        <w:t xml:space="preserve">. </w:t>
      </w:r>
      <w:r w:rsidR="00F77848" w:rsidRPr="000F2787">
        <w:rPr>
          <w:rFonts w:cs="Times New Roman"/>
          <w:szCs w:val="24"/>
        </w:rPr>
        <w:t xml:space="preserve">Since the genus richness for the two sample types were comparable, the </w:t>
      </w:r>
      <w:r w:rsidR="004169D0" w:rsidRPr="000F2787">
        <w:rPr>
          <w:rFonts w:cs="Times New Roman"/>
          <w:szCs w:val="24"/>
        </w:rPr>
        <w:t xml:space="preserve">lower </w:t>
      </w:r>
      <w:r w:rsidR="00F77848" w:rsidRPr="000F2787">
        <w:rPr>
          <w:rFonts w:cs="Times New Roman"/>
          <w:szCs w:val="24"/>
        </w:rPr>
        <w:t xml:space="preserve">Shannon index </w:t>
      </w:r>
      <w:r w:rsidR="004169D0" w:rsidRPr="000F2787">
        <w:rPr>
          <w:rFonts w:cs="Times New Roman"/>
          <w:szCs w:val="24"/>
        </w:rPr>
        <w:t xml:space="preserve">for blood samples indicate </w:t>
      </w:r>
      <w:r w:rsidR="00776C6E" w:rsidRPr="000F2787">
        <w:rPr>
          <w:rFonts w:cs="Times New Roman"/>
          <w:szCs w:val="24"/>
        </w:rPr>
        <w:t>a lower evenness, which is</w:t>
      </w:r>
      <w:r w:rsidR="00726372" w:rsidRPr="000F2787">
        <w:rPr>
          <w:rFonts w:cs="Times New Roman"/>
          <w:szCs w:val="24"/>
        </w:rPr>
        <w:t xml:space="preserve"> </w:t>
      </w:r>
      <w:r w:rsidR="00735A2D" w:rsidRPr="000F2787">
        <w:rPr>
          <w:rFonts w:cs="Times New Roman"/>
          <w:szCs w:val="24"/>
        </w:rPr>
        <w:t>likely</w:t>
      </w:r>
      <w:r w:rsidR="00726372" w:rsidRPr="000F2787">
        <w:rPr>
          <w:rFonts w:cs="Times New Roman"/>
          <w:szCs w:val="24"/>
        </w:rPr>
        <w:t xml:space="preserve"> </w:t>
      </w:r>
      <w:r w:rsidR="00776C6E" w:rsidRPr="000F2787">
        <w:rPr>
          <w:rFonts w:cs="Times New Roman"/>
          <w:szCs w:val="24"/>
        </w:rPr>
        <w:t xml:space="preserve">driven by the </w:t>
      </w:r>
      <w:r w:rsidR="00726372" w:rsidRPr="000F2787">
        <w:rPr>
          <w:rFonts w:cs="Times New Roman"/>
          <w:szCs w:val="24"/>
        </w:rPr>
        <w:t>excess</w:t>
      </w:r>
      <w:r w:rsidR="00776C6E" w:rsidRPr="000F2787">
        <w:rPr>
          <w:rFonts w:cs="Times New Roman"/>
          <w:szCs w:val="24"/>
        </w:rPr>
        <w:t xml:space="preserve"> of </w:t>
      </w:r>
      <w:r w:rsidR="00776C6E" w:rsidRPr="000F2787">
        <w:rPr>
          <w:rFonts w:cs="Times New Roman"/>
          <w:i/>
          <w:iCs/>
          <w:szCs w:val="24"/>
        </w:rPr>
        <w:t>Bifidobacterium</w:t>
      </w:r>
      <w:r w:rsidR="003A5F74" w:rsidRPr="000F2787">
        <w:rPr>
          <w:rFonts w:cs="Times New Roman"/>
          <w:i/>
          <w:iCs/>
          <w:szCs w:val="24"/>
        </w:rPr>
        <w:t xml:space="preserve"> </w:t>
      </w:r>
      <w:r w:rsidR="00CF3274" w:rsidRPr="000F2787">
        <w:rPr>
          <w:rFonts w:cs="Times New Roman"/>
          <w:szCs w:val="24"/>
        </w:rPr>
        <w:t>sequences</w:t>
      </w:r>
      <w:r w:rsidR="003A5F74" w:rsidRPr="000F2787">
        <w:rPr>
          <w:rFonts w:cs="Times New Roman"/>
          <w:szCs w:val="24"/>
        </w:rPr>
        <w:t>.</w:t>
      </w:r>
    </w:p>
    <w:p w14:paraId="36B7C324" w14:textId="222A3539" w:rsidR="000F2787" w:rsidRPr="000F2787" w:rsidRDefault="002D276E" w:rsidP="00AE0FE8">
      <w:pPr>
        <w:rPr>
          <w:rFonts w:cs="Times New Roman"/>
          <w:szCs w:val="24"/>
        </w:rPr>
      </w:pPr>
      <w:r w:rsidRPr="000F2787">
        <w:rPr>
          <w:rFonts w:cs="Times New Roman"/>
          <w:szCs w:val="24"/>
        </w:rPr>
        <w:t xml:space="preserve">To further determine whether the microbial composition of the two sample types could be distinguished, a </w:t>
      </w:r>
      <w:r w:rsidR="00E42DA4" w:rsidRPr="000F2787">
        <w:rPr>
          <w:rFonts w:cs="Times New Roman"/>
          <w:szCs w:val="24"/>
        </w:rPr>
        <w:t>principal</w:t>
      </w:r>
      <w:r w:rsidRPr="000F2787">
        <w:rPr>
          <w:rFonts w:cs="Times New Roman"/>
          <w:szCs w:val="24"/>
        </w:rPr>
        <w:t xml:space="preserve"> coordinates analysis (</w:t>
      </w:r>
      <w:proofErr w:type="spellStart"/>
      <w:r w:rsidRPr="000F2787">
        <w:rPr>
          <w:rFonts w:cs="Times New Roman"/>
          <w:szCs w:val="24"/>
        </w:rPr>
        <w:t>PCoA</w:t>
      </w:r>
      <w:proofErr w:type="spellEnd"/>
      <w:r w:rsidRPr="000F2787">
        <w:rPr>
          <w:rFonts w:cs="Times New Roman"/>
          <w:szCs w:val="24"/>
        </w:rPr>
        <w:t>)</w:t>
      </w:r>
      <w:r w:rsidR="00E90653">
        <w:rPr>
          <w:rFonts w:cs="Times New Roman"/>
          <w:szCs w:val="24"/>
        </w:rPr>
        <w:t xml:space="preserve"> </w:t>
      </w:r>
      <w:r w:rsidRPr="000F2787">
        <w:rPr>
          <w:rFonts w:cs="Times New Roman"/>
          <w:szCs w:val="24"/>
        </w:rPr>
        <w:t>was performe</w:t>
      </w:r>
      <w:r w:rsidR="00E42DA4" w:rsidRPr="000F2787">
        <w:rPr>
          <w:rFonts w:cs="Times New Roman"/>
          <w:szCs w:val="24"/>
        </w:rPr>
        <w:t>d</w:t>
      </w:r>
      <w:r w:rsidRPr="000F2787">
        <w:rPr>
          <w:rFonts w:cs="Times New Roman"/>
          <w:szCs w:val="24"/>
        </w:rPr>
        <w:t xml:space="preserve">. The first </w:t>
      </w:r>
      <w:r w:rsidR="00E42DA4" w:rsidRPr="000F2787">
        <w:rPr>
          <w:rFonts w:cs="Times New Roman"/>
          <w:szCs w:val="24"/>
        </w:rPr>
        <w:t>principal</w:t>
      </w:r>
      <w:r w:rsidR="00AE18DA" w:rsidRPr="000F2787">
        <w:rPr>
          <w:rFonts w:cs="Times New Roman"/>
          <w:szCs w:val="24"/>
        </w:rPr>
        <w:t xml:space="preserve"> coordinate axis </w:t>
      </w:r>
      <w:r w:rsidR="00325F15" w:rsidRPr="000F2787">
        <w:rPr>
          <w:rFonts w:cs="Times New Roman"/>
          <w:szCs w:val="24"/>
        </w:rPr>
        <w:t>separated the two sample types clearly (</w:t>
      </w:r>
      <w:r w:rsidR="00325F15" w:rsidRPr="000F2787">
        <w:rPr>
          <w:rFonts w:cs="Times New Roman"/>
          <w:b/>
          <w:bCs/>
          <w:szCs w:val="24"/>
        </w:rPr>
        <w:t>Figure 2c</w:t>
      </w:r>
      <w:r w:rsidR="00325F15" w:rsidRPr="000F2787">
        <w:rPr>
          <w:rFonts w:cs="Times New Roman"/>
          <w:szCs w:val="24"/>
        </w:rPr>
        <w:t>; upper panel</w:t>
      </w:r>
      <w:r w:rsidR="00270F92" w:rsidRPr="000F2787">
        <w:rPr>
          <w:rFonts w:cs="Times New Roman"/>
          <w:szCs w:val="24"/>
        </w:rPr>
        <w:t>) and</w:t>
      </w:r>
      <w:r w:rsidR="00325F15" w:rsidRPr="000F2787">
        <w:rPr>
          <w:rFonts w:cs="Times New Roman"/>
          <w:szCs w:val="24"/>
        </w:rPr>
        <w:t xml:space="preserve"> </w:t>
      </w:r>
      <w:r w:rsidR="00AE18DA" w:rsidRPr="000F2787">
        <w:rPr>
          <w:rFonts w:cs="Times New Roman"/>
          <w:szCs w:val="24"/>
        </w:rPr>
        <w:t>accounted for</w:t>
      </w:r>
      <w:r w:rsidR="00325F15" w:rsidRPr="000F2787">
        <w:rPr>
          <w:rFonts w:cs="Times New Roman"/>
          <w:szCs w:val="24"/>
        </w:rPr>
        <w:t xml:space="preserve"> a major proportion </w:t>
      </w:r>
      <w:r w:rsidR="00AE18DA" w:rsidRPr="000F2787">
        <w:rPr>
          <w:rFonts w:cs="Times New Roman"/>
          <w:szCs w:val="24"/>
        </w:rPr>
        <w:t>of variation in th</w:t>
      </w:r>
      <w:r w:rsidR="00E42DA4" w:rsidRPr="000F2787">
        <w:rPr>
          <w:rFonts w:cs="Times New Roman"/>
          <w:szCs w:val="24"/>
        </w:rPr>
        <w:t>e relative abundance data</w:t>
      </w:r>
      <w:r w:rsidR="00325F15" w:rsidRPr="000F2787">
        <w:rPr>
          <w:rFonts w:cs="Times New Roman"/>
          <w:szCs w:val="24"/>
        </w:rPr>
        <w:t xml:space="preserve"> (</w:t>
      </w:r>
      <w:r w:rsidR="006D2117" w:rsidRPr="000F2787">
        <w:rPr>
          <w:rFonts w:cs="Times New Roman"/>
          <w:szCs w:val="24"/>
        </w:rPr>
        <w:t xml:space="preserve">58.5%; </w:t>
      </w:r>
      <w:r w:rsidR="00325F15" w:rsidRPr="000F2787">
        <w:rPr>
          <w:rFonts w:cs="Times New Roman"/>
          <w:szCs w:val="24"/>
        </w:rPr>
        <w:t>lower panel)</w:t>
      </w:r>
      <w:r w:rsidR="00E64B34" w:rsidRPr="000F2787">
        <w:rPr>
          <w:rFonts w:cs="Times New Roman"/>
          <w:szCs w:val="24"/>
        </w:rPr>
        <w:t>.</w:t>
      </w:r>
      <w:r w:rsidR="00E6050A" w:rsidRPr="000F2787">
        <w:rPr>
          <w:rFonts w:cs="Times New Roman"/>
          <w:szCs w:val="24"/>
        </w:rPr>
        <w:t xml:space="preserve"> </w:t>
      </w:r>
      <w:r w:rsidR="00082239" w:rsidRPr="000F2787">
        <w:rPr>
          <w:rFonts w:cs="Times New Roman"/>
          <w:szCs w:val="24"/>
        </w:rPr>
        <w:t xml:space="preserve">Additionally, </w:t>
      </w:r>
      <w:r w:rsidR="00E6050A" w:rsidRPr="000F2787">
        <w:rPr>
          <w:rFonts w:cs="Times New Roman"/>
          <w:i/>
          <w:iCs/>
          <w:szCs w:val="24"/>
        </w:rPr>
        <w:t>t</w:t>
      </w:r>
      <w:r w:rsidR="00E6050A" w:rsidRPr="000F2787">
        <w:rPr>
          <w:rFonts w:cs="Times New Roman"/>
          <w:szCs w:val="24"/>
        </w:rPr>
        <w:t>-distributed stochastic neighbour embedding (</w:t>
      </w:r>
      <w:r w:rsidR="00E6050A" w:rsidRPr="000F2787">
        <w:rPr>
          <w:rFonts w:cs="Times New Roman"/>
          <w:i/>
          <w:iCs/>
          <w:szCs w:val="24"/>
        </w:rPr>
        <w:t>t</w:t>
      </w:r>
      <w:r w:rsidR="00E6050A" w:rsidRPr="000F2787">
        <w:rPr>
          <w:rFonts w:cs="Times New Roman"/>
          <w:szCs w:val="24"/>
        </w:rPr>
        <w:t>-SNE)</w:t>
      </w:r>
      <w:r w:rsidR="00082239" w:rsidRPr="000F2787">
        <w:rPr>
          <w:rFonts w:cs="Times New Roman"/>
          <w:szCs w:val="24"/>
        </w:rPr>
        <w:t xml:space="preserve"> was used to identify groups of samples with similar microbial compositions in an unsupervised fashion. </w:t>
      </w:r>
      <w:r w:rsidR="001D4937" w:rsidRPr="000F2787">
        <w:rPr>
          <w:rFonts w:cs="Times New Roman"/>
          <w:szCs w:val="24"/>
        </w:rPr>
        <w:t xml:space="preserve">In this context, </w:t>
      </w:r>
      <w:r w:rsidR="001D4937" w:rsidRPr="000F2787">
        <w:rPr>
          <w:rFonts w:cs="Times New Roman"/>
          <w:i/>
          <w:iCs/>
          <w:szCs w:val="24"/>
        </w:rPr>
        <w:t>t</w:t>
      </w:r>
      <w:r w:rsidR="001D4937" w:rsidRPr="000F2787">
        <w:rPr>
          <w:rFonts w:cs="Times New Roman"/>
          <w:szCs w:val="24"/>
        </w:rPr>
        <w:t>-SNE</w:t>
      </w:r>
      <w:r w:rsidR="00D177BD" w:rsidRPr="000F2787">
        <w:rPr>
          <w:rFonts w:cs="Times New Roman"/>
          <w:szCs w:val="24"/>
        </w:rPr>
        <w:t xml:space="preserve"> project</w:t>
      </w:r>
      <w:r w:rsidR="00082239" w:rsidRPr="000F2787">
        <w:rPr>
          <w:rFonts w:cs="Times New Roman"/>
          <w:szCs w:val="24"/>
        </w:rPr>
        <w:t>s</w:t>
      </w:r>
      <w:r w:rsidR="00D177BD" w:rsidRPr="000F2787">
        <w:rPr>
          <w:rFonts w:cs="Times New Roman"/>
          <w:szCs w:val="24"/>
        </w:rPr>
        <w:t xml:space="preserve"> the relative </w:t>
      </w:r>
      <w:r w:rsidR="00082239" w:rsidRPr="000F2787">
        <w:rPr>
          <w:rFonts w:cs="Times New Roman"/>
          <w:szCs w:val="24"/>
        </w:rPr>
        <w:t>genera abundance for each sample</w:t>
      </w:r>
      <w:r w:rsidR="00D177BD" w:rsidRPr="000F2787">
        <w:rPr>
          <w:rFonts w:cs="Times New Roman"/>
          <w:szCs w:val="24"/>
        </w:rPr>
        <w:t xml:space="preserve"> </w:t>
      </w:r>
      <w:r w:rsidR="00082239" w:rsidRPr="000F2787">
        <w:rPr>
          <w:rFonts w:cs="Times New Roman"/>
          <w:szCs w:val="24"/>
        </w:rPr>
        <w:t>on</w:t>
      </w:r>
      <w:r w:rsidR="00D177BD" w:rsidRPr="000F2787">
        <w:rPr>
          <w:rFonts w:cs="Times New Roman"/>
          <w:szCs w:val="24"/>
        </w:rPr>
        <w:t xml:space="preserve"> a two-dimensional space, where samples with more similar microbial compositions are brought closer together, and those with dissimilar compositions further apart.</w:t>
      </w:r>
      <w:r w:rsidR="00082239" w:rsidRPr="000F2787">
        <w:rPr>
          <w:rFonts w:cs="Times New Roman"/>
          <w:szCs w:val="24"/>
        </w:rPr>
        <w:t xml:space="preserve"> Echoing the results of the </w:t>
      </w:r>
      <w:proofErr w:type="spellStart"/>
      <w:r w:rsidR="00082239" w:rsidRPr="000F2787">
        <w:rPr>
          <w:rFonts w:cs="Times New Roman"/>
          <w:szCs w:val="24"/>
        </w:rPr>
        <w:t>PCoA</w:t>
      </w:r>
      <w:proofErr w:type="spellEnd"/>
      <w:r w:rsidR="00082239" w:rsidRPr="000F2787">
        <w:rPr>
          <w:rFonts w:cs="Times New Roman"/>
          <w:szCs w:val="24"/>
        </w:rPr>
        <w:t>, blood samples could be spatially separated from the negative controls (</w:t>
      </w:r>
      <w:r w:rsidR="00082239" w:rsidRPr="000F2787">
        <w:rPr>
          <w:rFonts w:cs="Times New Roman"/>
          <w:b/>
          <w:bCs/>
          <w:szCs w:val="24"/>
        </w:rPr>
        <w:t>Figure 2d</w:t>
      </w:r>
      <w:r w:rsidR="00082239" w:rsidRPr="000F2787">
        <w:rPr>
          <w:rFonts w:cs="Times New Roman"/>
          <w:szCs w:val="24"/>
        </w:rPr>
        <w:t>)</w:t>
      </w:r>
      <w:r w:rsidR="009172D7" w:rsidRPr="000F2787">
        <w:rPr>
          <w:rFonts w:cs="Times New Roman"/>
          <w:szCs w:val="24"/>
        </w:rPr>
        <w:t xml:space="preserve">. The results of the two analyses collectively </w:t>
      </w:r>
      <w:r w:rsidR="00082239" w:rsidRPr="000F2787">
        <w:rPr>
          <w:rFonts w:cs="Times New Roman"/>
          <w:szCs w:val="24"/>
        </w:rPr>
        <w:t xml:space="preserve">suggest that the two sample types have distinct microbial compositions. Interestingly, </w:t>
      </w:r>
      <w:r w:rsidR="00177635" w:rsidRPr="000F2787">
        <w:rPr>
          <w:rFonts w:cs="Times New Roman"/>
          <w:szCs w:val="24"/>
        </w:rPr>
        <w:t xml:space="preserve">the blood samples appear to form </w:t>
      </w:r>
      <w:r w:rsidR="00DA32AF" w:rsidRPr="000F2787">
        <w:rPr>
          <w:rFonts w:cs="Times New Roman"/>
          <w:szCs w:val="24"/>
        </w:rPr>
        <w:t>more than one cluster</w:t>
      </w:r>
      <w:r w:rsidR="00177635" w:rsidRPr="000F2787">
        <w:rPr>
          <w:rFonts w:cs="Times New Roman"/>
          <w:szCs w:val="24"/>
        </w:rPr>
        <w:t xml:space="preserve"> </w:t>
      </w:r>
      <w:r w:rsidR="00B1317C" w:rsidRPr="000F2787">
        <w:rPr>
          <w:rFonts w:cs="Times New Roman"/>
          <w:szCs w:val="24"/>
        </w:rPr>
        <w:t>on</w:t>
      </w:r>
      <w:r w:rsidR="00177635" w:rsidRPr="000F2787">
        <w:rPr>
          <w:rFonts w:cs="Times New Roman"/>
          <w:szCs w:val="24"/>
        </w:rPr>
        <w:t xml:space="preserve"> the </w:t>
      </w:r>
      <w:r w:rsidR="00177635" w:rsidRPr="000F2787">
        <w:rPr>
          <w:rFonts w:cs="Times New Roman"/>
          <w:i/>
          <w:iCs/>
          <w:szCs w:val="24"/>
        </w:rPr>
        <w:t>t</w:t>
      </w:r>
      <w:r w:rsidR="00177635" w:rsidRPr="000F2787">
        <w:rPr>
          <w:rFonts w:cs="Times New Roman"/>
          <w:szCs w:val="24"/>
        </w:rPr>
        <w:t>-SNE projection (</w:t>
      </w:r>
      <w:r w:rsidR="00177635" w:rsidRPr="000F2787">
        <w:rPr>
          <w:rFonts w:cs="Times New Roman"/>
          <w:b/>
          <w:bCs/>
          <w:szCs w:val="24"/>
        </w:rPr>
        <w:t>Figure 2d</w:t>
      </w:r>
      <w:r w:rsidR="00177635" w:rsidRPr="000F2787">
        <w:rPr>
          <w:rFonts w:cs="Times New Roman"/>
          <w:szCs w:val="24"/>
        </w:rPr>
        <w:t>)</w:t>
      </w:r>
      <w:r w:rsidR="00D05B71" w:rsidRPr="000F2787">
        <w:rPr>
          <w:rFonts w:cs="Times New Roman"/>
          <w:szCs w:val="24"/>
        </w:rPr>
        <w:t xml:space="preserve">. </w:t>
      </w:r>
      <w:r w:rsidR="00D05B71" w:rsidRPr="000F2787">
        <w:rPr>
          <w:rFonts w:cs="Times New Roman"/>
          <w:i/>
          <w:iCs/>
          <w:szCs w:val="24"/>
        </w:rPr>
        <w:t>k</w:t>
      </w:r>
      <w:r w:rsidR="00D05B71" w:rsidRPr="000F2787">
        <w:rPr>
          <w:rFonts w:cs="Times New Roman"/>
          <w:szCs w:val="24"/>
        </w:rPr>
        <w:t>-mean</w:t>
      </w:r>
      <w:r w:rsidR="00F61004" w:rsidRPr="000F2787">
        <w:rPr>
          <w:rFonts w:cs="Times New Roman"/>
          <w:szCs w:val="24"/>
        </w:rPr>
        <w:t>s</w:t>
      </w:r>
      <w:r w:rsidR="00D05B71" w:rsidRPr="000F2787">
        <w:rPr>
          <w:rFonts w:cs="Times New Roman"/>
          <w:szCs w:val="24"/>
        </w:rPr>
        <w:t xml:space="preserve"> clustering</w:t>
      </w:r>
      <w:r w:rsidR="00F61004" w:rsidRPr="000F2787">
        <w:rPr>
          <w:rFonts w:cs="Times New Roman"/>
          <w:szCs w:val="24"/>
        </w:rPr>
        <w:t>, which can classify samples with similar</w:t>
      </w:r>
      <w:r w:rsidR="00D05B71" w:rsidRPr="000F2787">
        <w:rPr>
          <w:rFonts w:cs="Times New Roman"/>
          <w:szCs w:val="24"/>
        </w:rPr>
        <w:t xml:space="preserve"> </w:t>
      </w:r>
      <w:r w:rsidR="00DA32AF" w:rsidRPr="000F2787">
        <w:rPr>
          <w:rFonts w:cs="Times New Roman"/>
          <w:szCs w:val="24"/>
        </w:rPr>
        <w:t>microbial compositions</w:t>
      </w:r>
      <w:r w:rsidR="00F61004" w:rsidRPr="000F2787">
        <w:rPr>
          <w:rFonts w:cs="Times New Roman"/>
          <w:szCs w:val="24"/>
        </w:rPr>
        <w:t xml:space="preserve"> into groups, confirmed that</w:t>
      </w:r>
      <w:r w:rsidR="00DA32AF" w:rsidRPr="000F2787">
        <w:rPr>
          <w:rFonts w:cs="Times New Roman"/>
          <w:szCs w:val="24"/>
        </w:rPr>
        <w:t xml:space="preserve"> </w:t>
      </w:r>
      <w:r w:rsidR="00D05B71" w:rsidRPr="000F2787">
        <w:rPr>
          <w:rFonts w:cs="Times New Roman"/>
          <w:szCs w:val="24"/>
        </w:rPr>
        <w:t xml:space="preserve">blood samples </w:t>
      </w:r>
      <w:r w:rsidR="006946AE" w:rsidRPr="000F2787">
        <w:rPr>
          <w:rFonts w:cs="Times New Roman"/>
          <w:szCs w:val="24"/>
        </w:rPr>
        <w:t>could be classified into two groups</w:t>
      </w:r>
      <w:r w:rsidR="00D05B71" w:rsidRPr="000F2787">
        <w:rPr>
          <w:rFonts w:cs="Times New Roman"/>
          <w:szCs w:val="24"/>
        </w:rPr>
        <w:t xml:space="preserve">, in addition </w:t>
      </w:r>
      <w:r w:rsidR="006946AE" w:rsidRPr="000F2787">
        <w:rPr>
          <w:rFonts w:cs="Times New Roman"/>
          <w:szCs w:val="24"/>
        </w:rPr>
        <w:t>to a separate negative control group</w:t>
      </w:r>
      <w:r w:rsidR="00D05B71" w:rsidRPr="000F2787">
        <w:rPr>
          <w:rFonts w:cs="Times New Roman"/>
          <w:szCs w:val="24"/>
        </w:rPr>
        <w:t>.</w:t>
      </w:r>
      <w:r w:rsidR="000F2787" w:rsidRPr="000F2787">
        <w:rPr>
          <w:rFonts w:cs="Times New Roman"/>
          <w:szCs w:val="24"/>
        </w:rPr>
        <w:t xml:space="preserve"> </w:t>
      </w:r>
      <w:r w:rsidR="006D0CE9">
        <w:rPr>
          <w:rFonts w:cs="Times New Roman"/>
          <w:szCs w:val="24"/>
        </w:rPr>
        <w:t xml:space="preserve">This suggests that the hypothetical healthy blood microbiome may </w:t>
      </w:r>
      <w:r w:rsidR="00D41ED4">
        <w:rPr>
          <w:rFonts w:cs="Times New Roman"/>
          <w:szCs w:val="24"/>
        </w:rPr>
        <w:t>be categorised into different</w:t>
      </w:r>
      <w:r w:rsidR="006D0CE9">
        <w:rPr>
          <w:rFonts w:cs="Times New Roman"/>
          <w:szCs w:val="24"/>
        </w:rPr>
        <w:t xml:space="preserve"> subtypes. </w:t>
      </w:r>
    </w:p>
    <w:p w14:paraId="0353D505" w14:textId="6D1F0FA3" w:rsidR="002014AD" w:rsidRPr="000F2787" w:rsidRDefault="000F2787" w:rsidP="00AE0FE8">
      <w:pPr>
        <w:rPr>
          <w:rFonts w:cs="Times New Roman"/>
          <w:szCs w:val="24"/>
        </w:rPr>
      </w:pPr>
      <w:r w:rsidRPr="000F2787">
        <w:rPr>
          <w:rFonts w:cs="Times New Roman"/>
          <w:szCs w:val="24"/>
        </w:rPr>
        <w:t xml:space="preserve">Taken together, the results indicate that the number and composition of microbial genera </w:t>
      </w:r>
      <w:r>
        <w:rPr>
          <w:rFonts w:cs="Times New Roman"/>
          <w:szCs w:val="24"/>
        </w:rPr>
        <w:t>in</w:t>
      </w:r>
      <w:r w:rsidRPr="000F2787">
        <w:rPr>
          <w:rFonts w:cs="Times New Roman"/>
          <w:szCs w:val="24"/>
        </w:rPr>
        <w:t xml:space="preserve"> blood samples can be distinguished fr</w:t>
      </w:r>
      <w:r>
        <w:rPr>
          <w:rFonts w:cs="Times New Roman"/>
          <w:szCs w:val="24"/>
        </w:rPr>
        <w:t>o</w:t>
      </w:r>
      <w:r w:rsidRPr="000F2787">
        <w:rPr>
          <w:rFonts w:cs="Times New Roman"/>
          <w:szCs w:val="24"/>
        </w:rPr>
        <w:t xml:space="preserve">m that </w:t>
      </w:r>
      <w:r>
        <w:rPr>
          <w:rFonts w:cs="Times New Roman"/>
          <w:szCs w:val="24"/>
        </w:rPr>
        <w:t xml:space="preserve">in the negative controls. This implies that the microbial sequences in blood are not solely due to contamination from sequencing reagents, suggesting the presence of DNA from potentially viable bacteria in healthy human blood. </w:t>
      </w:r>
    </w:p>
    <w:p w14:paraId="643DF88C" w14:textId="15AC0072" w:rsidR="00316E2A" w:rsidRDefault="004F3BFC" w:rsidP="00BC2AC9">
      <w:pPr>
        <w:spacing w:after="0" w:line="360" w:lineRule="auto"/>
        <w:rPr>
          <w:noProof/>
        </w:rPr>
      </w:pPr>
      <w:r w:rsidRPr="004F3BFC">
        <w:rPr>
          <w:noProof/>
        </w:rPr>
        <w:lastRenderedPageBreak/>
        <w:t xml:space="preserve">   </w:t>
      </w:r>
      <w:r w:rsidR="00F50255" w:rsidRPr="00F50255">
        <w:rPr>
          <w:noProof/>
        </w:rPr>
        <w:drawing>
          <wp:inline distT="0" distB="0" distL="0" distR="0" wp14:anchorId="0299C047" wp14:editId="1766C5B4">
            <wp:extent cx="5943600" cy="49530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4953000"/>
                    </a:xfrm>
                    <a:prstGeom prst="rect">
                      <a:avLst/>
                    </a:prstGeom>
                  </pic:spPr>
                </pic:pic>
              </a:graphicData>
            </a:graphic>
          </wp:inline>
        </w:drawing>
      </w:r>
    </w:p>
    <w:p w14:paraId="12EEAC7F" w14:textId="7A9049AE" w:rsidR="00B94335" w:rsidRDefault="0099682E" w:rsidP="00216E23">
      <w:pPr>
        <w:rPr>
          <w:noProof/>
        </w:rPr>
      </w:pPr>
      <w:r w:rsidRPr="00C9569A">
        <w:rPr>
          <w:b/>
          <w:bCs/>
        </w:rPr>
        <w:t xml:space="preserve">Figure </w:t>
      </w:r>
      <w:r>
        <w:rPr>
          <w:b/>
          <w:bCs/>
        </w:rPr>
        <w:t>2</w:t>
      </w:r>
      <w:r w:rsidRPr="00C9569A">
        <w:rPr>
          <w:b/>
          <w:bCs/>
        </w:rPr>
        <w:t>.</w:t>
      </w:r>
      <w:r>
        <w:rPr>
          <w:b/>
          <w:bCs/>
        </w:rPr>
        <w:t xml:space="preserve"> Microbial composition and diversity of healthy blood and negative controls.</w:t>
      </w:r>
      <w:r>
        <w:t xml:space="preserve"> (a) Relative abundance of the eight most abundant genera (ranked by their median values across all samples) are visualised in a stacked bar-plot. </w:t>
      </w:r>
      <w:r w:rsidR="00701657">
        <w:t xml:space="preserve">(b) </w:t>
      </w:r>
      <w:r w:rsidR="002014AD">
        <w:t>Rarefaction plots of genus richness and Shannon</w:t>
      </w:r>
      <w:r w:rsidR="00F77848">
        <w:t xml:space="preserve"> index. </w:t>
      </w:r>
      <w:r w:rsidR="00701657">
        <w:t xml:space="preserve"> (c) </w:t>
      </w:r>
      <w:r w:rsidR="00F50255">
        <w:t xml:space="preserve">Upper panel: </w:t>
      </w:r>
      <w:proofErr w:type="spellStart"/>
      <w:r w:rsidR="00F50255">
        <w:t>PCoA</w:t>
      </w:r>
      <w:proofErr w:type="spellEnd"/>
      <w:r w:rsidR="00F50255">
        <w:t xml:space="preserve"> plot of all samples on the first two </w:t>
      </w:r>
      <w:proofErr w:type="spellStart"/>
      <w:r w:rsidR="00F50255">
        <w:t>PCo</w:t>
      </w:r>
      <w:proofErr w:type="spellEnd"/>
      <w:r w:rsidR="00F50255">
        <w:t xml:space="preserve"> axes.</w:t>
      </w:r>
      <w:r w:rsidR="00C77229">
        <w:t xml:space="preserve"> Each point represents a single sample after ordination using </w:t>
      </w:r>
      <w:proofErr w:type="spellStart"/>
      <w:r w:rsidR="00C77229">
        <w:t>PCoA</w:t>
      </w:r>
      <w:proofErr w:type="spellEnd"/>
      <w:r w:rsidR="00C77229">
        <w:t>.</w:t>
      </w:r>
      <w:r w:rsidR="00F50255">
        <w:t xml:space="preserve"> Lower panel: Percentage of variance explained by each </w:t>
      </w:r>
      <w:proofErr w:type="spellStart"/>
      <w:r w:rsidR="00F50255">
        <w:t>PCo</w:t>
      </w:r>
      <w:proofErr w:type="spellEnd"/>
      <w:r w:rsidR="00F50255">
        <w:t xml:space="preserve"> axis. </w:t>
      </w:r>
      <w:r w:rsidR="00701657">
        <w:t xml:space="preserve">(d) </w:t>
      </w:r>
      <w:r w:rsidR="00F50255">
        <w:rPr>
          <w:i/>
          <w:iCs/>
        </w:rPr>
        <w:t>t-</w:t>
      </w:r>
      <w:r w:rsidR="00F50255" w:rsidRPr="00F50255">
        <w:t>SNE</w:t>
      </w:r>
      <w:r w:rsidR="00F50255">
        <w:t xml:space="preserve"> plot projecting the relative genera abundance of samples on a two-dimensional space. </w:t>
      </w:r>
      <w:r w:rsidR="00701657" w:rsidRPr="00F50255">
        <w:rPr>
          <w:noProof/>
        </w:rPr>
        <w:t>Each</w:t>
      </w:r>
      <w:r w:rsidR="00701657">
        <w:rPr>
          <w:noProof/>
        </w:rPr>
        <w:t xml:space="preserve"> point </w:t>
      </w:r>
      <w:r w:rsidR="00F50255">
        <w:rPr>
          <w:noProof/>
        </w:rPr>
        <w:t>represents</w:t>
      </w:r>
      <w:r w:rsidR="00701657">
        <w:rPr>
          <w:noProof/>
        </w:rPr>
        <w:t xml:space="preserve"> </w:t>
      </w:r>
      <w:r w:rsidR="00F50255">
        <w:rPr>
          <w:noProof/>
        </w:rPr>
        <w:t>a single</w:t>
      </w:r>
      <w:r w:rsidR="00701657">
        <w:rPr>
          <w:noProof/>
        </w:rPr>
        <w:t xml:space="preserve"> sample after </w:t>
      </w:r>
      <w:r w:rsidR="00C77229">
        <w:rPr>
          <w:noProof/>
        </w:rPr>
        <w:t>ordination</w:t>
      </w:r>
      <w:r w:rsidR="00701657">
        <w:rPr>
          <w:noProof/>
        </w:rPr>
        <w:t xml:space="preserve"> using </w:t>
      </w:r>
      <w:r w:rsidR="00701657">
        <w:rPr>
          <w:i/>
          <w:iCs/>
          <w:noProof/>
        </w:rPr>
        <w:t>t</w:t>
      </w:r>
      <w:r w:rsidR="00701657">
        <w:rPr>
          <w:noProof/>
        </w:rPr>
        <w:t xml:space="preserve">-SNE. The shape of each point represents the clusters identified using the </w:t>
      </w:r>
      <w:r w:rsidR="00701657" w:rsidRPr="00192A6C">
        <w:rPr>
          <w:i/>
          <w:iCs/>
          <w:noProof/>
        </w:rPr>
        <w:t>k</w:t>
      </w:r>
      <w:r w:rsidR="00701657">
        <w:rPr>
          <w:noProof/>
        </w:rPr>
        <w:t>-means clustering algorithm.</w:t>
      </w:r>
    </w:p>
    <w:p w14:paraId="0C6797D1" w14:textId="7D37ED49" w:rsidR="00FB14BB" w:rsidRDefault="00FB14BB" w:rsidP="00216E23">
      <w:pPr>
        <w:rPr>
          <w:noProof/>
        </w:rPr>
      </w:pPr>
    </w:p>
    <w:p w14:paraId="65970AD8" w14:textId="6E87EE16" w:rsidR="00FB14BB" w:rsidRDefault="00FB14BB" w:rsidP="00216E23">
      <w:pPr>
        <w:rPr>
          <w:noProof/>
        </w:rPr>
      </w:pPr>
    </w:p>
    <w:p w14:paraId="6FC5B83A" w14:textId="0F397B30" w:rsidR="00FB14BB" w:rsidRDefault="00FB14BB" w:rsidP="00216E23">
      <w:pPr>
        <w:rPr>
          <w:noProof/>
        </w:rPr>
      </w:pPr>
    </w:p>
    <w:p w14:paraId="2B37AC7E" w14:textId="11E11F44" w:rsidR="00FB14BB" w:rsidRDefault="00FB14BB" w:rsidP="00216E23">
      <w:pPr>
        <w:rPr>
          <w:noProof/>
        </w:rPr>
      </w:pPr>
    </w:p>
    <w:p w14:paraId="04791DBE" w14:textId="77777777" w:rsidR="00FB14BB" w:rsidRDefault="00FB14BB" w:rsidP="00216E23"/>
    <w:p w14:paraId="566D1229" w14:textId="293361B0" w:rsidR="00BC2AC9" w:rsidRDefault="005B4D36" w:rsidP="00427821">
      <w:pPr>
        <w:pStyle w:val="Heading2"/>
        <w:rPr>
          <w:lang w:val="en-GB"/>
        </w:rPr>
      </w:pPr>
      <w:r>
        <w:rPr>
          <w:lang w:val="en-GB"/>
        </w:rPr>
        <w:t xml:space="preserve">Candidate members </w:t>
      </w:r>
      <w:r w:rsidR="00F61004">
        <w:rPr>
          <w:lang w:val="en-GB"/>
        </w:rPr>
        <w:t>of</w:t>
      </w:r>
      <w:r>
        <w:rPr>
          <w:lang w:val="en-GB"/>
        </w:rPr>
        <w:t xml:space="preserve"> the human blood microbiome</w:t>
      </w:r>
    </w:p>
    <w:p w14:paraId="09EE60C9" w14:textId="70889089" w:rsidR="005B4D36" w:rsidRDefault="004A0520" w:rsidP="00BC2AC9">
      <w:pPr>
        <w:spacing w:after="0" w:line="360" w:lineRule="auto"/>
      </w:pPr>
      <w:r>
        <w:t>Since all samples were processed and sequenced in the same batch, t</w:t>
      </w:r>
      <w:r w:rsidR="00D77212">
        <w:t xml:space="preserve">he </w:t>
      </w:r>
      <w:r w:rsidR="00FB14BB">
        <w:t xml:space="preserve">taxonomic assignments for the negative controls </w:t>
      </w:r>
      <w:r>
        <w:t>could be used</w:t>
      </w:r>
      <w:r w:rsidR="00FB14BB">
        <w:t xml:space="preserve"> </w:t>
      </w:r>
      <w:r w:rsidR="00D77212">
        <w:t xml:space="preserve">to identify potential </w:t>
      </w:r>
      <w:r w:rsidR="006A1DD6">
        <w:t>microbiome-associated</w:t>
      </w:r>
      <w:r w:rsidR="0025066F">
        <w:t xml:space="preserve"> genera while </w:t>
      </w:r>
      <w:r w:rsidR="00D77212">
        <w:t>excluding</w:t>
      </w:r>
      <w:r w:rsidR="0025066F">
        <w:t xml:space="preserve"> </w:t>
      </w:r>
      <w:r w:rsidR="00FB14BB">
        <w:t xml:space="preserve">putative contaminants. Firstly, </w:t>
      </w:r>
      <w:r w:rsidR="005B4D36">
        <w:t xml:space="preserve">seven genera were found in all blood samples, </w:t>
      </w:r>
      <w:r w:rsidR="00FB14BB">
        <w:t>but</w:t>
      </w:r>
      <w:r w:rsidR="005B4D36">
        <w:t xml:space="preserve"> absent in at least one negative control (</w:t>
      </w:r>
      <w:r w:rsidR="005B4D36" w:rsidRPr="003B6FD2">
        <w:rPr>
          <w:b/>
          <w:bCs/>
        </w:rPr>
        <w:t xml:space="preserve">Figure </w:t>
      </w:r>
      <w:r w:rsidR="00FB14BB">
        <w:rPr>
          <w:b/>
          <w:bCs/>
        </w:rPr>
        <w:t>3</w:t>
      </w:r>
      <w:r>
        <w:rPr>
          <w:b/>
          <w:bCs/>
        </w:rPr>
        <w:t>a</w:t>
      </w:r>
      <w:r w:rsidR="005B4D36">
        <w:t>).</w:t>
      </w:r>
      <w:r w:rsidR="00286CF0">
        <w:t xml:space="preserve"> Species within these genera present</w:t>
      </w:r>
      <w:r w:rsidR="004843FD">
        <w:t xml:space="preserve"> as</w:t>
      </w:r>
      <w:r w:rsidR="00286CF0">
        <w:t xml:space="preserve"> </w:t>
      </w:r>
      <w:r w:rsidR="004843FD">
        <w:t>preliminary targets</w:t>
      </w:r>
      <w:r w:rsidR="00286CF0">
        <w:t xml:space="preserve"> for</w:t>
      </w:r>
      <w:r w:rsidR="004843FD">
        <w:t xml:space="preserve"> members of the</w:t>
      </w:r>
      <w:r w:rsidR="00286CF0">
        <w:t xml:space="preserve"> blood microbiome. </w:t>
      </w:r>
      <w:r w:rsidR="00267882">
        <w:t xml:space="preserve">Notably, </w:t>
      </w:r>
      <w:r w:rsidR="0051722E">
        <w:t xml:space="preserve">some genera are present in all samples, but may also be part of the human blood microbiome. One way to determine whether such genera are </w:t>
      </w:r>
      <w:r w:rsidR="0051722E">
        <w:t>microbiome</w:t>
      </w:r>
      <w:r w:rsidR="0051722E">
        <w:t>-</w:t>
      </w:r>
      <w:r w:rsidR="0051722E">
        <w:t xml:space="preserve">associated </w:t>
      </w:r>
      <w:r w:rsidR="0051722E">
        <w:t>or contaminants is to compare the</w:t>
      </w:r>
      <w:r w:rsidR="0007277C">
        <w:t>ir relative abundance in blood and in controls</w:t>
      </w:r>
      <w:r w:rsidR="00CB603D">
        <w:t xml:space="preserve"> </w:t>
      </w:r>
      <w:r w:rsidR="00CB603D">
        <w:fldChar w:fldCharType="begin" w:fldLock="1"/>
      </w:r>
      <w:r w:rsidR="004A15A1">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analyses","type":"article-journal","volume":"12"},"uris":["http://www.mendeley.com/documents/?uuid=334bc940-ca23-40a2-a499-ffeebb28311a"]}],"mendeley":{"formattedCitation":"(Salter &lt;i&gt;et al.&lt;/i&gt;, 2014)","plainTextFormattedCitation":"(Salter et al., 2014)","previouslyFormattedCitation":"(Salter &lt;i&gt;et al.&lt;/i&gt;, 2014)"},"properties":{"noteIndex":0},"schema":"https://github.com/citation-style-language/schema/raw/master/csl-citation.json"}</w:instrText>
      </w:r>
      <w:r w:rsidR="00CB603D">
        <w:fldChar w:fldCharType="separate"/>
      </w:r>
      <w:r w:rsidR="00CB603D" w:rsidRPr="00CB603D">
        <w:rPr>
          <w:noProof/>
        </w:rPr>
        <w:t xml:space="preserve">(Salter </w:t>
      </w:r>
      <w:r w:rsidR="00CB603D" w:rsidRPr="00CB603D">
        <w:rPr>
          <w:i/>
          <w:noProof/>
        </w:rPr>
        <w:t>et al.</w:t>
      </w:r>
      <w:r w:rsidR="00CB603D" w:rsidRPr="00CB603D">
        <w:rPr>
          <w:noProof/>
        </w:rPr>
        <w:t>, 2014)</w:t>
      </w:r>
      <w:r w:rsidR="00CB603D">
        <w:fldChar w:fldCharType="end"/>
      </w:r>
      <w:r w:rsidR="0007277C">
        <w:t>.</w:t>
      </w:r>
      <w:r w:rsidR="003F165C">
        <w:t xml:space="preserve"> </w:t>
      </w:r>
      <w:r w:rsidR="001903E6">
        <w:t>This is because taxa that are present in a true microbial community are</w:t>
      </w:r>
      <w:r w:rsidR="00824461">
        <w:t xml:space="preserve"> likely to be</w:t>
      </w:r>
      <w:r w:rsidR="001903E6">
        <w:t xml:space="preserve"> highly abundant in </w:t>
      </w:r>
      <w:r w:rsidR="00E26570">
        <w:t xml:space="preserve">microbiome </w:t>
      </w:r>
      <w:r w:rsidR="001903E6">
        <w:t>samples and less abundant in negative controls.</w:t>
      </w:r>
      <w:r w:rsidR="00824461">
        <w:t xml:space="preserve"> Conversely, contaminant taxa are likely to be highly abundant in controls but not in samples.</w:t>
      </w:r>
      <w:r w:rsidR="001903E6">
        <w:t xml:space="preserve"> Therefore, the measured </w:t>
      </w:r>
      <w:r w:rsidR="00CB603D">
        <w:t>relative abundance of</w:t>
      </w:r>
      <w:r w:rsidR="001903E6">
        <w:t xml:space="preserve"> taxa is a good proxy for selecting candidate members of the human blood microbiome</w:t>
      </w:r>
      <w:r w:rsidR="001C476C">
        <w:t>.</w:t>
      </w:r>
      <w:r w:rsidR="0007277C">
        <w:t xml:space="preserve"> </w:t>
      </w:r>
      <w:r w:rsidR="002665B9">
        <w:t xml:space="preserve">However, </w:t>
      </w:r>
      <w:r w:rsidR="004A15A1">
        <w:t>if there is a microbial community in blood, blood samples should have a higher microbial load than</w:t>
      </w:r>
      <w:r w:rsidR="007418EF">
        <w:t xml:space="preserve"> </w:t>
      </w:r>
      <w:r w:rsidR="004A15A1">
        <w:t>negative controls. This diffe</w:t>
      </w:r>
      <w:r w:rsidR="007418EF">
        <w:t>ring</w:t>
      </w:r>
      <w:r w:rsidR="004A15A1">
        <w:t xml:space="preserve"> microbial load is known to confound comparisons of relative abundance </w:t>
      </w:r>
      <w:r w:rsidR="004A15A1">
        <w:fldChar w:fldCharType="begin" w:fldLock="1"/>
      </w:r>
      <w:r w:rsidR="009D4340">
        <w:instrText>ADDIN CSL_CITATION {"citationItems":[{"id":"ITEM-1","itemData":{"DOI":"10.1038/s41467-019-10656-5","ISSN":"2041-1723","abstract":"Differential abundance analysis is controversial throughout microbiome research. Gold standard approaches require laborious measurements of total microbial load, or absolute number of microorganisms, to accurately determine taxonomic shifts. Therefore, most studies rely on relative abundance data. Here, we demonstrate common pitfalls in comparing relative abundance across samples and identify two solutions that reveal microbial changes without the need to estimate total microbial load. We define the notion of “reference frames”, which provide deep intuition about the compositional nature of microbiome data. In an oral time series experiment, reference frames alleviate false positives and produce consistent results on both raw and cell-count normalized data. Furthermore, reference frames identify consistent, differentially abundant microbes previously undetected in two independent published datasets from subjects with atopic dermatitis. These methods allow reassessment of published relative abundance data to reveal reproducible microbial changes from standard sequencing output without the need for new assays.","author":[{"dropping-particle":"","family":"Morton","given":"James T","non-dropping-particle":"","parse-names":false,"suffix":""},{"dropping-particle":"","family":"Marotz","given":"Clarisse","non-dropping-particle":"","parse-names":false,"suffix":""},{"dropping-particle":"","family":"Washburne","given":"Alex","non-dropping-particle":"","parse-names":false,"suffix":""},{"dropping-particle":"","family":"Silverman","given":"Justin","non-dropping-particle":"","parse-names":false,"suffix":""},{"dropping-particle":"","family":"Zaramela","given":"Livia S","non-dropping-particle":"","parse-names":false,"suffix":""},{"dropping-particle":"","family":"Edlund","given":"Anna","non-dropping-particle":"","parse-names":false,"suffix":""},{"dropping-particle":"","family":"Zengler","given":"Karsten","non-dropping-particle":"","parse-names":false,"suffix":""},{"dropping-particle":"","family":"Knight","given":"Rob","non-dropping-particle":"","parse-names":false,"suffix":""}],"container-title":"Nature Communications","id":"ITEM-1","issue":"1","issued":{"date-parts":[["2019"]]},"page":"2719","title":"Establishing microbial composition measurement standards with reference frames","type":"article-journal","volume":"10"},"uris":["http://www.mendeley.com/documents/?uuid=42d4c6c5-1d5e-40d1-bda6-a751c2c26faf"]}],"mendeley":{"formattedCitation":"(Morton &lt;i&gt;et al.&lt;/i&gt;, 2019)","plainTextFormattedCitation":"(Morton et al., 2019)","previouslyFormattedCitation":"(Morton &lt;i&gt;et al.&lt;/i&gt;, 2019)"},"properties":{"noteIndex":0},"schema":"https://github.com/citation-style-language/schema/raw/master/csl-citation.json"}</w:instrText>
      </w:r>
      <w:r w:rsidR="004A15A1">
        <w:fldChar w:fldCharType="separate"/>
      </w:r>
      <w:r w:rsidR="004A15A1" w:rsidRPr="004A15A1">
        <w:rPr>
          <w:noProof/>
        </w:rPr>
        <w:t xml:space="preserve">(Morton </w:t>
      </w:r>
      <w:r w:rsidR="004A15A1" w:rsidRPr="004A15A1">
        <w:rPr>
          <w:i/>
          <w:noProof/>
        </w:rPr>
        <w:t>et al.</w:t>
      </w:r>
      <w:r w:rsidR="004A15A1" w:rsidRPr="004A15A1">
        <w:rPr>
          <w:noProof/>
        </w:rPr>
        <w:t>, 2019)</w:t>
      </w:r>
      <w:r w:rsidR="004A15A1">
        <w:fldChar w:fldCharType="end"/>
      </w:r>
      <w:r w:rsidR="004A15A1">
        <w:t>.</w:t>
      </w:r>
      <w:r w:rsidR="006D4A7B">
        <w:t xml:space="preserve"> </w:t>
      </w:r>
      <w:r w:rsidR="00D21D6A">
        <w:t>As such, relative differential abundance</w:t>
      </w:r>
      <w:r w:rsidR="00895E8D">
        <w:t xml:space="preserve"> (RDA)</w:t>
      </w:r>
      <w:r w:rsidR="00D21D6A">
        <w:t xml:space="preserve">, where the relative abundance of a particular taxon is normalised by a reference taxon in the same sample (see Methods), was compared. </w:t>
      </w:r>
      <w:r w:rsidR="00895E8D">
        <w:t xml:space="preserve">RDA controls for the differing microbial loads in samples when comparing relative abundances. </w:t>
      </w:r>
      <w:r w:rsidR="00D21D6A">
        <w:t xml:space="preserve">Using </w:t>
      </w:r>
      <w:proofErr w:type="spellStart"/>
      <w:r w:rsidR="00D21D6A" w:rsidRPr="00D21D6A">
        <w:rPr>
          <w:i/>
          <w:iCs/>
        </w:rPr>
        <w:t>Bradyrhizobium</w:t>
      </w:r>
      <w:proofErr w:type="spellEnd"/>
      <w:r w:rsidR="00D21D6A">
        <w:t xml:space="preserve"> as the reference genus, the </w:t>
      </w:r>
      <w:r w:rsidR="00895E8D">
        <w:t>RDA</w:t>
      </w:r>
      <w:r w:rsidR="00D21D6A">
        <w:t xml:space="preserve"> of genera that were found in all samples were computed. </w:t>
      </w:r>
      <w:r w:rsidR="00895E8D">
        <w:t>Of the twelve genera that were present in all samples,</w:t>
      </w:r>
      <w:r w:rsidR="00837D76">
        <w:t xml:space="preserve"> only</w:t>
      </w:r>
      <w:r w:rsidR="00895E8D">
        <w:t xml:space="preserve"> </w:t>
      </w:r>
      <w:r w:rsidR="00895E8D" w:rsidRPr="00895E8D">
        <w:rPr>
          <w:i/>
          <w:iCs/>
        </w:rPr>
        <w:t>Bifidobacterium</w:t>
      </w:r>
      <w:r w:rsidR="00895E8D">
        <w:t xml:space="preserve">, </w:t>
      </w:r>
      <w:r w:rsidR="00895E8D" w:rsidRPr="00895E8D">
        <w:rPr>
          <w:i/>
          <w:iCs/>
        </w:rPr>
        <w:t>Lactobacillus</w:t>
      </w:r>
      <w:r w:rsidR="00895E8D">
        <w:t xml:space="preserve"> and </w:t>
      </w:r>
      <w:r w:rsidR="00895E8D" w:rsidRPr="00895E8D">
        <w:rPr>
          <w:i/>
          <w:iCs/>
        </w:rPr>
        <w:t>Escherichia-Shigella</w:t>
      </w:r>
      <w:r w:rsidR="00895E8D">
        <w:t xml:space="preserve"> </w:t>
      </w:r>
      <w:r w:rsidR="00837D76">
        <w:t xml:space="preserve">appeared to be more abundant in blood than in controls </w:t>
      </w:r>
      <w:r w:rsidR="00D21D6A">
        <w:t>(</w:t>
      </w:r>
      <w:r w:rsidR="00D21D6A" w:rsidRPr="00D21D6A">
        <w:rPr>
          <w:b/>
          <w:bCs/>
        </w:rPr>
        <w:t>Figure 3b</w:t>
      </w:r>
      <w:r w:rsidR="00D21D6A">
        <w:t xml:space="preserve">). </w:t>
      </w:r>
      <w:r w:rsidR="00837D76">
        <w:t xml:space="preserve">These genera are therefore candidate members of the human blood microbiome. </w:t>
      </w:r>
    </w:p>
    <w:p w14:paraId="370BBC19" w14:textId="5CB2ABF9" w:rsidR="004A0520" w:rsidRDefault="00447E8E" w:rsidP="00BC2AC9">
      <w:pPr>
        <w:spacing w:after="0" w:line="360" w:lineRule="auto"/>
        <w:rPr>
          <w:b/>
          <w:bCs/>
          <w:noProof/>
        </w:rPr>
      </w:pPr>
      <w:r>
        <w:rPr>
          <w:noProof/>
        </w:rPr>
        <w:lastRenderedPageBreak/>
        <w:drawing>
          <wp:inline distT="0" distB="0" distL="0" distR="0" wp14:anchorId="4D7C5EF3" wp14:editId="4F5CDB62">
            <wp:extent cx="5943600" cy="694309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6943090"/>
                    </a:xfrm>
                    <a:prstGeom prst="rect">
                      <a:avLst/>
                    </a:prstGeom>
                  </pic:spPr>
                </pic:pic>
              </a:graphicData>
            </a:graphic>
          </wp:inline>
        </w:drawing>
      </w:r>
    </w:p>
    <w:p w14:paraId="144C0C45" w14:textId="68282B09" w:rsidR="005B4D36" w:rsidRDefault="005B4D36" w:rsidP="00BC2AC9">
      <w:pPr>
        <w:spacing w:after="0" w:line="360" w:lineRule="auto"/>
        <w:rPr>
          <w:rFonts w:eastAsiaTheme="majorEastAsia" w:cstheme="majorBidi"/>
          <w:b/>
          <w:sz w:val="28"/>
          <w:szCs w:val="32"/>
          <w:lang w:val="en-GB"/>
        </w:rPr>
      </w:pPr>
      <w:r w:rsidRPr="005B4D36">
        <w:rPr>
          <w:b/>
          <w:bCs/>
        </w:rPr>
        <w:t xml:space="preserve">Figure </w:t>
      </w:r>
      <w:r w:rsidR="00965662">
        <w:rPr>
          <w:b/>
          <w:bCs/>
        </w:rPr>
        <w:t>3</w:t>
      </w:r>
      <w:r w:rsidRPr="005B4D36">
        <w:rPr>
          <w:b/>
          <w:bCs/>
        </w:rPr>
        <w:t>.</w:t>
      </w:r>
      <w:r>
        <w:t xml:space="preserve"> </w:t>
      </w:r>
      <w:r w:rsidR="00A15B07">
        <w:t xml:space="preserve">(a) </w:t>
      </w:r>
      <w:r>
        <w:t>Heatmap showing the relative abundance of genera that are found in all blood samples but not in all negative controls.</w:t>
      </w:r>
      <w:r w:rsidR="00723757">
        <w:t xml:space="preserve"> Each tile represents the relative abundance of a single genus for a particular sample.</w:t>
      </w:r>
      <w:r>
        <w:t xml:space="preserve"> Black tiles indicate a relative abundance of zero.</w:t>
      </w:r>
      <w:r w:rsidR="00A15B07">
        <w:t xml:space="preserve"> (b) </w:t>
      </w:r>
      <w:r w:rsidR="00607BD7">
        <w:t xml:space="preserve">Boxplots of </w:t>
      </w:r>
      <w:r w:rsidR="00895E8D">
        <w:t>RDA</w:t>
      </w:r>
      <w:r w:rsidR="00607BD7">
        <w:t xml:space="preserve"> for </w:t>
      </w:r>
      <w:r w:rsidR="007853CC">
        <w:t xml:space="preserve">genera </w:t>
      </w:r>
      <w:r w:rsidR="00DB24C1">
        <w:t xml:space="preserve">that were </w:t>
      </w:r>
      <w:r w:rsidR="007853CC">
        <w:t xml:space="preserve">present in all samples. </w:t>
      </w:r>
      <w:r w:rsidR="00D26F05">
        <w:t xml:space="preserve">Each point represents a single sample. </w:t>
      </w:r>
      <w:r w:rsidR="007853CC">
        <w:t xml:space="preserve">Panels </w:t>
      </w:r>
      <w:r w:rsidR="00971B23">
        <w:lastRenderedPageBreak/>
        <w:t>that are not likely</w:t>
      </w:r>
      <w:r w:rsidR="00723757">
        <w:t xml:space="preserve"> </w:t>
      </w:r>
      <w:r w:rsidR="00971B23">
        <w:t xml:space="preserve">candidate members of the human blood microbiome are shaded grey, and the reference frame is shaded yellow. </w:t>
      </w:r>
    </w:p>
    <w:p w14:paraId="315E8F2E" w14:textId="77777777" w:rsidR="00BC2AC9" w:rsidRDefault="00BC2AC9" w:rsidP="00BC2AC9">
      <w:pPr>
        <w:pStyle w:val="Heading1"/>
        <w:rPr>
          <w:lang w:val="en-GB"/>
        </w:rPr>
      </w:pPr>
      <w:r>
        <w:rPr>
          <w:lang w:val="en-GB"/>
        </w:rPr>
        <w:t>Discussion</w:t>
      </w:r>
    </w:p>
    <w:p w14:paraId="27DB7086" w14:textId="05D79781" w:rsidR="003B6614" w:rsidRDefault="003B6614" w:rsidP="003B6614">
      <w:pPr>
        <w:pStyle w:val="Heading2"/>
        <w:rPr>
          <w:lang w:val="en-GB"/>
        </w:rPr>
      </w:pPr>
      <w:r>
        <w:rPr>
          <w:lang w:val="en-GB"/>
        </w:rPr>
        <w:t>The blood microbiome</w:t>
      </w:r>
    </w:p>
    <w:p w14:paraId="1F1AE463" w14:textId="02FA29AD" w:rsidR="003B6614" w:rsidRDefault="003B6614" w:rsidP="003B6614">
      <w:r>
        <w:t xml:space="preserve">The results suggest </w:t>
      </w:r>
      <w:r>
        <w:t xml:space="preserve">that the microbial genera sequenced from healthy human blood samples differs markedly from that of negative controls. </w:t>
      </w:r>
    </w:p>
    <w:p w14:paraId="3ADBD8DA" w14:textId="0EFCD49B" w:rsidR="003B6614" w:rsidRDefault="00F577DE" w:rsidP="003B6614">
      <w:pPr>
        <w:rPr>
          <w:lang w:val="en-GB"/>
        </w:rPr>
      </w:pPr>
      <w:r>
        <w:rPr>
          <w:lang w:val="en-GB"/>
        </w:rPr>
        <w:t xml:space="preserve">-Negative control is for sequencing only. </w:t>
      </w:r>
      <w:r w:rsidRPr="00F577DE">
        <w:rPr>
          <w:lang w:val="en-GB"/>
        </w:rPr>
        <w:t>Phlebotomy</w:t>
      </w:r>
      <w:r>
        <w:rPr>
          <w:lang w:val="en-GB"/>
        </w:rPr>
        <w:t xml:space="preserve"> or DNA extraction. Povidone control. </w:t>
      </w:r>
    </w:p>
    <w:p w14:paraId="5200ADC8" w14:textId="58517A99" w:rsidR="003B6614" w:rsidRDefault="003B6614" w:rsidP="003B6614">
      <w:pPr>
        <w:rPr>
          <w:lang w:val="en-GB"/>
        </w:rPr>
      </w:pPr>
      <w:r>
        <w:rPr>
          <w:lang w:val="en-GB"/>
        </w:rPr>
        <w:t>- Other methods, ensemble for better stringency</w:t>
      </w:r>
    </w:p>
    <w:p w14:paraId="48D914B3" w14:textId="5199B908" w:rsidR="003B6614" w:rsidRDefault="003B6614" w:rsidP="003B6614">
      <w:pPr>
        <w:rPr>
          <w:lang w:val="en-GB"/>
        </w:rPr>
      </w:pPr>
      <w:r>
        <w:rPr>
          <w:lang w:val="en-GB"/>
        </w:rPr>
        <w:t xml:space="preserve">-Microbiome subtypes. Reference other examples. Emphasise </w:t>
      </w:r>
      <w:proofErr w:type="gramStart"/>
      <w:r>
        <w:rPr>
          <w:lang w:val="en-GB"/>
        </w:rPr>
        <w:t>preliminary</w:t>
      </w:r>
      <w:proofErr w:type="gramEnd"/>
    </w:p>
    <w:p w14:paraId="115C3A41" w14:textId="598B53AF" w:rsidR="00F577DE" w:rsidRPr="003B6614" w:rsidRDefault="00F577DE" w:rsidP="003B6614">
      <w:pPr>
        <w:rPr>
          <w:lang w:val="en-GB"/>
        </w:rPr>
      </w:pPr>
      <w:r>
        <w:rPr>
          <w:lang w:val="en-GB"/>
        </w:rPr>
        <w:t>-Small data size, not meaningful for statistical tests.</w:t>
      </w:r>
    </w:p>
    <w:p w14:paraId="28788233" w14:textId="77777777" w:rsidR="003B6614" w:rsidRDefault="003B6614" w:rsidP="003B6614">
      <w:pPr>
        <w:rPr>
          <w:lang w:val="en-GB"/>
        </w:rPr>
      </w:pPr>
      <w:r>
        <w:rPr>
          <w:lang w:val="en-GB"/>
        </w:rPr>
        <w:t xml:space="preserve">-16S so bacteria only. There is also </w:t>
      </w:r>
      <w:proofErr w:type="spellStart"/>
      <w:proofErr w:type="gramStart"/>
      <w:r>
        <w:rPr>
          <w:lang w:val="en-GB"/>
        </w:rPr>
        <w:t>virome</w:t>
      </w:r>
      <w:proofErr w:type="spellEnd"/>
      <w:proofErr w:type="gramEnd"/>
    </w:p>
    <w:p w14:paraId="322796E0" w14:textId="77777777" w:rsidR="003B6614" w:rsidRDefault="003B6614" w:rsidP="003B6614">
      <w:pPr>
        <w:rPr>
          <w:lang w:val="en-GB"/>
        </w:rPr>
      </w:pPr>
      <w:r>
        <w:rPr>
          <w:lang w:val="en-GB"/>
        </w:rPr>
        <w:t>- Possible sources of blood bacteria</w:t>
      </w:r>
    </w:p>
    <w:p w14:paraId="33D3D9A1" w14:textId="77777777" w:rsidR="003B6614" w:rsidRDefault="003B6614" w:rsidP="003B6614">
      <w:pPr>
        <w:rPr>
          <w:lang w:val="en-GB"/>
        </w:rPr>
      </w:pPr>
      <w:r>
        <w:rPr>
          <w:lang w:val="en-GB"/>
        </w:rPr>
        <w:t>- Transient or permanent?</w:t>
      </w:r>
    </w:p>
    <w:p w14:paraId="6150CF8D" w14:textId="16B0DC12" w:rsidR="003B6614" w:rsidRPr="00576BB5" w:rsidRDefault="003B6614" w:rsidP="003B6614">
      <w:pPr>
        <w:rPr>
          <w:lang w:val="en-GB"/>
        </w:rPr>
      </w:pPr>
      <w:r>
        <w:rPr>
          <w:lang w:val="en-GB"/>
        </w:rPr>
        <w:t xml:space="preserve">- </w:t>
      </w:r>
      <w:proofErr w:type="spellStart"/>
      <w:r>
        <w:rPr>
          <w:lang w:val="en-GB"/>
        </w:rPr>
        <w:t>DNAemia</w:t>
      </w:r>
      <w:proofErr w:type="spellEnd"/>
      <w:r>
        <w:rPr>
          <w:lang w:val="en-GB"/>
        </w:rPr>
        <w:t xml:space="preserve"> or viable bacteria</w:t>
      </w:r>
      <w:r>
        <w:rPr>
          <w:lang w:val="en-GB"/>
        </w:rPr>
        <w:t>?</w:t>
      </w:r>
    </w:p>
    <w:p w14:paraId="7FCBAFE2" w14:textId="21AC8FFB" w:rsidR="00BC2AC9" w:rsidRPr="00B94335" w:rsidRDefault="00091BA5" w:rsidP="00B94335">
      <w:pPr>
        <w:pStyle w:val="Heading2"/>
      </w:pPr>
      <w:r w:rsidRPr="00B94335">
        <w:t>Addressing the problem of contamination</w:t>
      </w:r>
    </w:p>
    <w:p w14:paraId="1483DB2A" w14:textId="77A575FE" w:rsidR="00DF221B" w:rsidRDefault="00DF221B" w:rsidP="00DF221B">
      <w:pPr>
        <w:spacing w:line="480" w:lineRule="auto"/>
        <w:rPr>
          <w:rFonts w:eastAsia="Times New Roman" w:cs="Times New Roman"/>
          <w:szCs w:val="24"/>
          <w:lang w:val="en-GB"/>
        </w:rPr>
      </w:pPr>
      <w:r>
        <w:rPr>
          <w:rFonts w:eastAsia="Times New Roman" w:cs="Times New Roman"/>
          <w:szCs w:val="24"/>
          <w:lang w:val="en-GB"/>
        </w:rPr>
        <w:t xml:space="preserve">Contamination from environmental sources poses one of the greatest challenges for metagenomic investigations of microbial communities, particularly in low biomass and clinical samples </w:t>
      </w:r>
      <w:r>
        <w:rPr>
          <w:rFonts w:eastAsia="Times New Roman" w:cs="Times New Roman"/>
          <w:szCs w:val="24"/>
          <w:lang w:val="en-GB"/>
        </w:rPr>
        <w:fldChar w:fldCharType="begin" w:fldLock="1"/>
      </w:r>
      <w:r>
        <w:rPr>
          <w:rFonts w:eastAsia="Times New Roman" w:cs="Times New Roman"/>
          <w:szCs w:val="24"/>
          <w:lang w:val="en-GB"/>
        </w:rPr>
        <w:instrText>ADDIN CSL_CITATION {"citationItems":[{"id":"ITEM-1","itemData":{"ISSN":"1757-4749","author":[{"dropping-particle":"","family":"Glassing","given":"Angela","non-dropping-particle":"","parse-names":false,"suffix":""},{"dropping-particle":"","family":"Dowd","given":"Scot E","non-dropping-particle":"","parse-names":false,"suffix":""},{"dropping-particle":"","family":"Galandiuk","given":"Susan","non-dropping-particle":"","parse-names":false,"suffix":""},{"dropping-particle":"","family":"Davis","given":"Brian","non-dropping-particle":"","parse-names":false,"suffix":""},{"dropping-particle":"","family":"Chiodini","given":"Rodrick J","non-dropping-particle":"","parse-names":false,"suffix":""}],"container-title":"Gut pathogens","id":"ITEM-1","issue":"1","issued":{"date-parts":[["2016"]]},"page":"24","publisher":"Springer","title":"Inherent bacterial DNA contamination of extraction and sequencing reagents may affect interpretation of microbiota in low bacterial biomass samples","type":"article-journal","volume":"8"},"uris":["http://www.mendeley.com/documents/?uuid=a9850e0b-651c-4480-9070-090966080d9d"]},{"id":"ITEM-2","itemData":{"ISSN":"1473-3099","author":[{"dropping-particle":"","family":"Bharucha","given":"Tehmina","non-dropping-particle":"","parse-names":false,"suffix":""},{"dropping-particle":"","family":"Oeser","given":"Clarissa","non-dropping-particle":"","parse-names":false,"suffix":""},{"dropping-particle":"","family":"Balloux","given":"Francois","non-dropping-particle":"","parse-names":false,"suffix":""},{"dropping-particle":"","family":"Brown","given":"Julianne R","non-dropping-particle":"","parse-names":false,"suffix":""},{"dropping-particle":"","family":"Carbo","given":"Ellen C","non-dropping-particle":"","parse-names":false,"suffix":""},{"dropping-particle":"","family":"Charlett","given":"Andre","non-dropping-particle":"","parse-names":false,"suffix":""},{"dropping-particle":"","family":"Chiu","given":"Charles Y","non-dropping-particle":"","parse-names":false,"suffix":""},{"dropping-particle":"","family":"Claas","given":"Eric C J","non-dropping-particle":"","parse-names":false,"suffix":""},{"dropping-particle":"","family":"Goffau","given":"Marcus C","non-dropping-particle":"de","parse-names":false,"suffix":""},{"dropping-particle":"","family":"Vries","given":"Jutte J C","non-dropping-particle":"de","parse-names":false,"suffix":""}],"container-title":"The Lancet Infectious Diseases","id":"ITEM-2","issued":{"date-parts":[["2020"]]},"publisher":"Elsevier","title":"STROBE-metagenomics: a STROBE extension statement to guide the reporting of metagenomics studies","type":"article-journal"},"uris":["http://www.mendeley.com/documents/?uuid=f17cb925-f47c-4d95-bbee-f54042e63e4e"]}],"mendeley":{"formattedCitation":"(Glassing &lt;i&gt;et al.&lt;/i&gt;, 2016; Bharucha &lt;i&gt;et al.&lt;/i&gt;, 2020)","plainTextFormattedCitation":"(Glassing et al., 2016; Bharucha et al., 2020)","previouslyFormattedCitation":"(Glassing &lt;i&gt;et al.&lt;/i&gt;, 2016; Bharucha &lt;i&gt;et al.&lt;/i&gt;, 2020)"},"properties":{"noteIndex":0},"schema":"https://github.com/citation-style-language/schema/raw/master/csl-citation.json"}</w:instrText>
      </w:r>
      <w:r>
        <w:rPr>
          <w:rFonts w:eastAsia="Times New Roman" w:cs="Times New Roman"/>
          <w:szCs w:val="24"/>
          <w:lang w:val="en-GB"/>
        </w:rPr>
        <w:fldChar w:fldCharType="separate"/>
      </w:r>
      <w:r w:rsidRPr="006E7F3F">
        <w:rPr>
          <w:rFonts w:eastAsia="Times New Roman" w:cs="Times New Roman"/>
          <w:noProof/>
          <w:szCs w:val="24"/>
          <w:lang w:val="en-GB"/>
        </w:rPr>
        <w:t xml:space="preserve">(Glassing </w:t>
      </w:r>
      <w:r w:rsidRPr="006E7F3F">
        <w:rPr>
          <w:rFonts w:eastAsia="Times New Roman" w:cs="Times New Roman"/>
          <w:i/>
          <w:noProof/>
          <w:szCs w:val="24"/>
          <w:lang w:val="en-GB"/>
        </w:rPr>
        <w:t>et al.</w:t>
      </w:r>
      <w:r w:rsidRPr="006E7F3F">
        <w:rPr>
          <w:rFonts w:eastAsia="Times New Roman" w:cs="Times New Roman"/>
          <w:noProof/>
          <w:szCs w:val="24"/>
          <w:lang w:val="en-GB"/>
        </w:rPr>
        <w:t xml:space="preserve">, 2016; Bharucha </w:t>
      </w:r>
      <w:r w:rsidRPr="006E7F3F">
        <w:rPr>
          <w:rFonts w:eastAsia="Times New Roman" w:cs="Times New Roman"/>
          <w:i/>
          <w:noProof/>
          <w:szCs w:val="24"/>
          <w:lang w:val="en-GB"/>
        </w:rPr>
        <w:t>et al.</w:t>
      </w:r>
      <w:r w:rsidRPr="006E7F3F">
        <w:rPr>
          <w:rFonts w:eastAsia="Times New Roman" w:cs="Times New Roman"/>
          <w:noProof/>
          <w:szCs w:val="24"/>
          <w:lang w:val="en-GB"/>
        </w:rPr>
        <w:t>, 2020)</w:t>
      </w:r>
      <w:r>
        <w:rPr>
          <w:rFonts w:eastAsia="Times New Roman" w:cs="Times New Roman"/>
          <w:szCs w:val="24"/>
          <w:lang w:val="en-GB"/>
        </w:rPr>
        <w:fldChar w:fldCharType="end"/>
      </w:r>
      <w:r>
        <w:rPr>
          <w:rFonts w:eastAsia="Times New Roman" w:cs="Times New Roman"/>
          <w:szCs w:val="24"/>
          <w:lang w:val="en-GB"/>
        </w:rPr>
        <w:t>. It is therefore crucial to discriminate between contaminants and biologically relevant taxa and to remove putative contaminants to protect against spurious signals.</w:t>
      </w:r>
    </w:p>
    <w:p w14:paraId="1DD0A1C3" w14:textId="367578C9" w:rsidR="00DF221B" w:rsidRDefault="00DF221B" w:rsidP="00DF221B">
      <w:pPr>
        <w:spacing w:line="480" w:lineRule="auto"/>
        <w:rPr>
          <w:rFonts w:eastAsia="Times New Roman" w:cs="Times New Roman"/>
          <w:szCs w:val="24"/>
          <w:lang w:val="en-GB"/>
        </w:rPr>
      </w:pPr>
      <w:r>
        <w:rPr>
          <w:rFonts w:eastAsia="Times New Roman" w:cs="Times New Roman"/>
          <w:szCs w:val="24"/>
          <w:lang w:val="en-GB"/>
        </w:rPr>
        <w:t xml:space="preserve">As an alternative to our contamination reduction technique, statistical decontamination techniques identifying inverse relationships between the assigned abundance of taxa and sample DNA concentration </w:t>
      </w:r>
      <w:r>
        <w:rPr>
          <w:rFonts w:eastAsia="Times New Roman" w:cs="Times New Roman"/>
          <w:szCs w:val="24"/>
          <w:lang w:val="en-GB"/>
        </w:rPr>
        <w:fldChar w:fldCharType="begin" w:fldLock="1"/>
      </w:r>
      <w:r>
        <w:rPr>
          <w:rFonts w:eastAsia="Times New Roman" w:cs="Times New Roman"/>
          <w:szCs w:val="24"/>
          <w:lang w:val="en-GB"/>
        </w:rPr>
        <w:instrText>ADDIN CSL_CITATION {"citationItems":[{"id":"ITEM-1","itemData":{"ISSN":"2049-2618","author":[{"dropping-particle":"","family":"Jervis-Bardy","given":"Jake","non-dropping-particle":"","parse-names":false,"suffix":""},{"dropping-particle":"","family":"Leong","given":"Lex E X","non-dropping-particle":"","parse-names":false,"suffix":""},{"dropping-particle":"","family":"Marri","given":"Shashikanth","non-dropping-particle":"","parse-names":false,"suffix":""},{"dropping-particle":"","family":"Smith","given":"Renee J","non-dropping-particle":"","parse-names":false,"suffix":""},{"dropping-particle":"","family":"Choo","given":"Jocelyn M","non-dropping-particle":"","parse-names":false,"suffix":""},{"dropping-particle":"","family":"Smith-Vaughan","given":"Heidi C","non-dropping-particle":"","parse-names":false,"suffix":""},{"dropping-particle":"","family":"Nosworthy","given":"Elizabeth","non-dropping-particle":"","parse-names":false,"suffix":""},{"dropping-particle":"","family":"Morris","given":"Peter S","non-dropping-particle":"","parse-names":false,"suffix":""},{"dropping-particle":"","family":"O’Leary","given":"Stephen","non-dropping-particle":"","parse-names":false,"suffix":""},{"dropping-particle":"","family":"Rogers","given":"Geraint B","non-dropping-particle":"","parse-names":false,"suffix":""}],"container-title":"Microbiome","id":"ITEM-1","issue":"1","issued":{"date-parts":[["2015"]]},"page":"19","publisher":"Springer","title":"Deriving accurate microbiota profiles from human samples with low bacterial content through post-sequencing processing of Illumina MiSeq data","type":"article-journal","volume":"3"},"uris":["http://www.mendeley.com/documents/?uuid=e4a08777-e8dd-444f-a0c3-80ca49e31bec"]},{"id":"ITEM-2","itemData":{"ISSN":"2049-2618","author":[{"dropping-particle":"","family":"Davis","given":"Nicole M","non-dropping-particle":"","parse-names":false,"suffix":""},{"dropping-particle":"","family":"Proctor","given":"Diana M","non-dropping-particle":"","parse-names":false,"suffix":""},{"dropping-particle":"","family":"Holmes","given":"Susan P","non-dropping-particle":"","parse-names":false,"suffix":""},{"dropping-particle":"","family":"Relman","given":"David A","non-dropping-particle":"","parse-names":false,"suffix":""},{"dropping-particle":"","family":"Callahan","given":"Benjamin J","non-dropping-particle":"","parse-names":false,"suffix":""}],"container-title":"Microbiome","id":"ITEM-2","issue":"1","issued":{"date-parts":[["2018"]]},"page":"226","publisher":"BioMed Central","title":"Simple statistical identification and removal of contaminant sequences in marker-gene and metagenomics data","type":"article-journal","volume":"6"},"uris":["http://www.mendeley.com/documents/?uuid=ecb2f32b-7166-47b6-9f79-a7db4621b30f"]}],"mendeley":{"formattedCitation":"(Jervis-Bardy &lt;i&gt;et al.&lt;/i&gt;, 2015; Davis &lt;i&gt;et al.&lt;/i&gt;, 2018)","plainTextFormattedCitation":"(Jervis-Bardy et al., 2015; Davis et al., 2018)","previouslyFormattedCitation":"(Jervis-Bardy &lt;i&gt;et al.&lt;/i&gt;, 2015; Davis &lt;i&gt;et al.&lt;/i&gt;, 2018)"},"properties":{"noteIndex":0},"schema":"https://github.com/citation-style-language/schema/raw/master/csl-citation.json"}</w:instrText>
      </w:r>
      <w:r>
        <w:rPr>
          <w:rFonts w:eastAsia="Times New Roman" w:cs="Times New Roman"/>
          <w:szCs w:val="24"/>
          <w:lang w:val="en-GB"/>
        </w:rPr>
        <w:fldChar w:fldCharType="separate"/>
      </w:r>
      <w:r w:rsidRPr="006E7F3F">
        <w:rPr>
          <w:rFonts w:eastAsia="Times New Roman" w:cs="Times New Roman"/>
          <w:noProof/>
          <w:szCs w:val="24"/>
          <w:lang w:val="en-GB"/>
        </w:rPr>
        <w:t xml:space="preserve">(Jervis-Bardy </w:t>
      </w:r>
      <w:r w:rsidRPr="006E7F3F">
        <w:rPr>
          <w:rFonts w:eastAsia="Times New Roman" w:cs="Times New Roman"/>
          <w:i/>
          <w:noProof/>
          <w:szCs w:val="24"/>
          <w:lang w:val="en-GB"/>
        </w:rPr>
        <w:t>et al.</w:t>
      </w:r>
      <w:r w:rsidRPr="006E7F3F">
        <w:rPr>
          <w:rFonts w:eastAsia="Times New Roman" w:cs="Times New Roman"/>
          <w:noProof/>
          <w:szCs w:val="24"/>
          <w:lang w:val="en-GB"/>
        </w:rPr>
        <w:t xml:space="preserve">, 2015; Davis </w:t>
      </w:r>
      <w:r w:rsidRPr="006E7F3F">
        <w:rPr>
          <w:rFonts w:eastAsia="Times New Roman" w:cs="Times New Roman"/>
          <w:i/>
          <w:noProof/>
          <w:szCs w:val="24"/>
          <w:lang w:val="en-GB"/>
        </w:rPr>
        <w:t>et al.</w:t>
      </w:r>
      <w:r w:rsidRPr="006E7F3F">
        <w:rPr>
          <w:rFonts w:eastAsia="Times New Roman" w:cs="Times New Roman"/>
          <w:noProof/>
          <w:szCs w:val="24"/>
          <w:lang w:val="en-GB"/>
        </w:rPr>
        <w:t>, 2018)</w:t>
      </w:r>
      <w:r>
        <w:rPr>
          <w:rFonts w:eastAsia="Times New Roman" w:cs="Times New Roman"/>
          <w:szCs w:val="24"/>
          <w:lang w:val="en-GB"/>
        </w:rPr>
        <w:fldChar w:fldCharType="end"/>
      </w:r>
      <w:r>
        <w:rPr>
          <w:rFonts w:eastAsia="Times New Roman" w:cs="Times New Roman"/>
          <w:szCs w:val="24"/>
          <w:lang w:val="en-GB"/>
        </w:rPr>
        <w:t xml:space="preserve"> could be used. However, this method was not applicable for our study since the sample DNA concentrations in the datasets used were not reported.</w:t>
      </w:r>
    </w:p>
    <w:p w14:paraId="43294187" w14:textId="77777777" w:rsidR="00DF221B" w:rsidRDefault="00DF221B" w:rsidP="00DF221B">
      <w:pPr>
        <w:spacing w:line="480" w:lineRule="auto"/>
        <w:rPr>
          <w:rFonts w:eastAsia="Times New Roman" w:cs="Times New Roman"/>
          <w:szCs w:val="24"/>
          <w:lang w:val="en-GB"/>
        </w:rPr>
      </w:pPr>
      <w:r>
        <w:rPr>
          <w:rFonts w:eastAsia="Times New Roman" w:cs="Times New Roman"/>
          <w:szCs w:val="24"/>
          <w:lang w:val="en-GB"/>
        </w:rPr>
        <w:lastRenderedPageBreak/>
        <w:t xml:space="preserve">We identified several limitations in our study. Firstly, metagenomic sequencing involves measurements of circulating free DNA and not of viable microorganisms in blood. As such, the detection of DNA from multiple taxa does not necessarily represent the true number or abundance of active taxa present. However, multiple studies have demonstrated high concordance of targeted </w:t>
      </w:r>
      <w:r>
        <w:rPr>
          <w:rFonts w:eastAsia="Times New Roman" w:cs="Times New Roman"/>
          <w:szCs w:val="24"/>
          <w:lang w:val="en-GB"/>
        </w:rPr>
        <w:fldChar w:fldCharType="begin" w:fldLock="1"/>
      </w:r>
      <w:r>
        <w:rPr>
          <w:rFonts w:eastAsia="Times New Roman" w:cs="Times New Roman"/>
          <w:szCs w:val="24"/>
          <w:lang w:val="en-GB"/>
        </w:rPr>
        <w:instrText>ADDIN CSL_CITATION {"citationItems":[{"id":"ITEM-1","itemData":{"DOI":"10.1371/journal.pone.0065226","ISSN":"1932-6203","abstract":"Classifying individual bacterial species comprising complex, polymicrobial patient specimens remains a challenge for culture-based and molecular microbiology techniques in common clinical use. We therefore adapted practices from metagenomics research to rapidly catalog the bacterial composition of clinical specimens directly from patients, without need for prior culture. We have combined a semiconductor deep sequencing protocol that produces reads spanning 16S ribosomal RNA gene variable regions 1 and 2 (</w:instrText>
      </w:r>
      <w:r>
        <w:rPr>
          <w:rFonts w:ascii="Cambria Math" w:eastAsia="Times New Roman" w:hAnsi="Cambria Math" w:cs="Cambria Math"/>
          <w:szCs w:val="24"/>
          <w:lang w:val="en-GB"/>
        </w:rPr>
        <w:instrText>∼</w:instrText>
      </w:r>
      <w:r>
        <w:rPr>
          <w:rFonts w:eastAsia="Times New Roman" w:cs="Times New Roman"/>
          <w:szCs w:val="24"/>
          <w:lang w:val="en-GB"/>
        </w:rPr>
        <w:instrText>360 bp) with a de-noising pipeline that significantly improves the fraction of error-free sequences. The resulting sequences can be used to perform accurate genus- or species-level taxonomic assignment. We explore the microbial composition of challenging, heterogeneous clinical specimens by deep sequencing, culture-based strain typing, and Sanger sequencing of bulk PCR product. We report that deep sequencing can catalog bacterial species in mixed specimens from which usable data cannot be obtained by conventional clinical methods. Deep sequencing a collection of sputum samples from cystic fibrosis (CF) patients reveals well-described CF pathogens in specimens where they were not detected by standard clinical culture methods, especially for low-prevalence or fastidious bacteria. We also found that sputa submitted for CF diagnostic workup can be divided into a limited number of groups based on the phylogenetic composition of the airway microbiota, suggesting that metagenomic profiling may prove useful as a clinical diagnostic strategy in the future. The described method is sufficiently rapid (theoretically compatible with same-day turnaround times) and inexpensive for routine clinical use.","author":[{"dropping-particle":"","family":"Salipante","given":"Stephen J","non-dropping-particle":"","parse-names":false,"suffix":""},{"dropping-particle":"","family":"Sengupta","given":"Dhruba J","non-dropping-particle":"","parse-names":false,"suffix":""},{"dropping-particle":"","family":"Rosenthal","given":"Christopher","non-dropping-particle":"","parse-names":false,"suffix":""},{"dropping-particle":"","family":"Costa","given":"Gina","non-dropping-particle":"","parse-names":false,"suffix":""},{"dropping-particle":"","family":"Spangler","given":"Jessica","non-dropping-particle":"","parse-names":false,"suffix":""},{"dropping-particle":"","family":"Sims","given":"Elizabeth H","non-dropping-particle":"","parse-names":false,"suffix":""},{"dropping-particle":"","family":"Jacobs","given":"Michael A","non-dropping-particle":"","parse-names":false,"suffix":""},{"dropping-particle":"","family":"Miller","given":"Samuel I","non-dropping-particle":"","parse-names":false,"suffix":""},{"dropping-particle":"","family":"Hoogestraat","given":"Daniel R","non-dropping-particle":"","parse-names":false,"suffix":""},{"dropping-particle":"","family":"Cookson","given":"Brad T","non-dropping-particle":"","parse-names":false,"suffix":""},{"dropping-particle":"","family":"McCoy","given":"Connor","non-dropping-particle":"","parse-names":false,"suffix":""},{"dropping-particle":"","family":"Matsen","given":"Frederick A","non-dropping-particle":"","parse-names":false,"suffix":""},{"dropping-particle":"","family":"Shendure","given":"Jay","non-dropping-particle":"","parse-names":false,"suffix":""},{"dropping-particle":"","family":"Lee","given":"Clarence C","non-dropping-particle":"","parse-names":false,"suffix":""},{"dropping-particle":"","family":"Harkins","given":"Timothy T","non-dropping-particle":"","parse-names":false,"suffix":""},{"dropping-particle":"","family":"Hoffman","given":"Noah G","non-dropping-particle":"","parse-names":false,"suffix":""}],"container-title":"PloS one","id":"ITEM-1","issue":"5","issued":{"date-parts":[["2013","5","29"]]},"language":"eng","page":"e65226-e65226","publisher":"Public Library of Science","title":"Rapid 16S rRNA next-generation sequencing of polymicrobial clinical samples for diagnosis of complex bacterial infections","type":"article-journal","volume":"8"},"uris":["http://www.mendeley.com/documents/?uuid=3968a0ca-b157-454c-97fc-dc048fd6089e"]}],"mendeley":{"formattedCitation":"(Salipante &lt;i&gt;et al.&lt;/i&gt;, 2013)","plainTextFormattedCitation":"(Salipante et al., 2013)","previouslyFormattedCitation":"(Salipante &lt;i&gt;et al.&lt;/i&gt;, 2013)"},"properties":{"noteIndex":0},"schema":"https://github.com/citation-style-language/schema/raw/master/csl-citation.json"}</w:instrText>
      </w:r>
      <w:r>
        <w:rPr>
          <w:rFonts w:eastAsia="Times New Roman" w:cs="Times New Roman"/>
          <w:szCs w:val="24"/>
          <w:lang w:val="en-GB"/>
        </w:rPr>
        <w:fldChar w:fldCharType="separate"/>
      </w:r>
      <w:r w:rsidRPr="006E7F3F">
        <w:rPr>
          <w:rFonts w:eastAsia="Times New Roman" w:cs="Times New Roman"/>
          <w:noProof/>
          <w:szCs w:val="24"/>
          <w:lang w:val="en-GB"/>
        </w:rPr>
        <w:t xml:space="preserve">(Salipante </w:t>
      </w:r>
      <w:r w:rsidRPr="006E7F3F">
        <w:rPr>
          <w:rFonts w:eastAsia="Times New Roman" w:cs="Times New Roman"/>
          <w:i/>
          <w:noProof/>
          <w:szCs w:val="24"/>
          <w:lang w:val="en-GB"/>
        </w:rPr>
        <w:t>et al.</w:t>
      </w:r>
      <w:r w:rsidRPr="006E7F3F">
        <w:rPr>
          <w:rFonts w:eastAsia="Times New Roman" w:cs="Times New Roman"/>
          <w:noProof/>
          <w:szCs w:val="24"/>
          <w:lang w:val="en-GB"/>
        </w:rPr>
        <w:t>, 2013)</w:t>
      </w:r>
      <w:r>
        <w:rPr>
          <w:rFonts w:eastAsia="Times New Roman" w:cs="Times New Roman"/>
          <w:szCs w:val="24"/>
          <w:lang w:val="en-GB"/>
        </w:rPr>
        <w:fldChar w:fldCharType="end"/>
      </w:r>
      <w:r>
        <w:rPr>
          <w:rFonts w:eastAsia="Times New Roman" w:cs="Times New Roman"/>
          <w:szCs w:val="24"/>
          <w:lang w:val="en-GB"/>
        </w:rPr>
        <w:t xml:space="preserve"> or shotgun metagenomic sequencing with culture </w:t>
      </w:r>
      <w:r>
        <w:rPr>
          <w:rFonts w:eastAsia="Times New Roman" w:cs="Times New Roman"/>
          <w:szCs w:val="24"/>
          <w:lang w:val="en-GB"/>
        </w:rPr>
        <w:fldChar w:fldCharType="begin" w:fldLock="1"/>
      </w:r>
      <w:r>
        <w:rPr>
          <w:rFonts w:eastAsia="Times New Roman" w:cs="Times New Roman"/>
          <w:szCs w:val="24"/>
          <w:lang w:val="en-GB"/>
        </w:rPr>
        <w:instrText>ADDIN CSL_CITATION {"citationItems":[{"id":"ITEM-1","itemData":{"DOI":"10.1038/s41564-018-0349-6","ISSN":"2058-5276","abstract":"Thousands of pathogens are known to infect humans, but only a fraction are readily identifiable using current diagnostic methods. Microbial cell-free DNA sequencing offers the potential to non-invasively identify a wide range of infections throughout the body, but the challenges of clinical-grade metagenomic testing must be addressed. Here we describe the analytical and clinical validation of a next-generation sequencing test that identifies and quantifies microbial cell-free DNA in plasma from 1,250 clinically relevant bacteria, DNA viruses, fungi and eukaryotic parasites. Test accuracy, precision, bias and robustness to a number of metagenomics-specific challenges were determined using a panel of 13 microorganisms that model key determinants of performance in 358 contrived plasma samples, as well as 2,625 infections simulated in silico and 580 clinical study samples. The test showed 93.7% agreement with blood culture in a cohort of 350 patients with a sepsis alert and identified an independently adjudicated cause of the sepsis alert more often than all of the microbiological testing combined (169 aetiological determinations versus 132). Among the 166 samples adjudicated to have no sepsis aetiology identified by any of the tested methods, sequencing identified microbial cell-free DNA in 62, likely derived from commensal organisms and incidental findings unrelated to the sepsis alert. Analysis of the first 2,000 patient samples tested in the CLIA laboratory showed that more than 85% of results were delivered the day after sample receipt, with 53.7% of reports identifying one or more microorganisms.","author":[{"dropping-particle":"","family":"Blauwkamp","given":"Timothy A","non-dropping-particle":"","parse-names":false,"suffix":""},{"dropping-particle":"","family":"Thair","given":"Simone","non-dropping-particle":"","parse-names":false,"suffix":""},{"dropping-particle":"","family":"Rosen","given":"Michael J","non-dropping-particle":"","parse-names":false,"suffix":""},{"dropping-particle":"","family":"Blair","given":"Lily","non-dropping-particle":"","parse-names":false,"suffix":""},{"dropping-particle":"","family":"Lindner","given":"Martin S","non-dropping-particle":"","parse-names":false,"suffix":""},{"dropping-particle":"","family":"Vilfan","given":"Igor D","non-dropping-particle":"","parse-names":false,"suffix":""},{"dropping-particle":"","family":"Kawli","given":"Trupti","non-dropping-particle":"","parse-names":false,"suffix":""},{"dropping-particle":"","family":"Christians","given":"Fred C","non-dropping-particle":"","parse-names":false,"suffix":""},{"dropping-particle":"","family":"Venkatasubrahmanyam","given":"Shivkumar","non-dropping-particle":"","parse-names":false,"suffix":""},{"dropping-particle":"","family":"Wall","given":"Gregory D","non-dropping-particle":"","parse-names":false,"suffix":""},{"dropping-particle":"","family":"Cheung","given":"Anita","non-dropping-particle":"","parse-names":false,"suffix":""},{"dropping-particle":"","family":"Rogers","given":"Zoë N","non-dropping-particle":"","parse-names":false,"suffix":""},{"dropping-particle":"","family":"Meshulam-Simon","given":"Galit","non-dropping-particle":"","parse-names":false,"suffix":""},{"dropping-particle":"","family":"Huijse","given":"Liza","non-dropping-particle":"","parse-names":false,"suffix":""},{"dropping-particle":"","family":"Balakrishnan","given":"Sanjeev","non-dropping-particle":"","parse-names":false,"suffix":""},{"dropping-particle":"V","family":"Quinn","given":"James","non-dropping-particle":"","parse-names":false,"suffix":""},{"dropping-particle":"","family":"Hollemon","given":"Desiree","non-dropping-particle":"","parse-names":false,"suffix":""},{"dropping-particle":"","family":"Hong","given":"David K","non-dropping-particle":"","parse-names":false,"suffix":""},{"dropping-particle":"","family":"Vaughn","given":"Marla Lay","non-dropping-particle":"","parse-names":false,"suffix":""},{"dropping-particle":"","family":"Kertesz","given":"Mickey","non-dropping-particle":"","parse-names":false,"suffix":""},{"dropping-particle":"","family":"Bercovici","given":"Sivan","non-dropping-particle":"","parse-names":false,"suffix":""},{"dropping-particle":"","family":"Wilber","given":"Judith C","non-dropping-particle":"","parse-names":false,"suffix":""},{"dropping-particle":"","family":"Yang","given":"Samuel","non-dropping-particle":"","parse-names":false,"suffix":""}],"container-title":"Nature Microbiology","id":"ITEM-1","issue":"4","issued":{"date-parts":[["2019"]]},"page":"663-674","title":"Analytical and clinical validation of a microbial cell-free DNA sequencing test for infectious disease","type":"article-journal","volume":"4"},"uris":["http://www.mendeley.com/documents/?uuid=d671707c-ba80-442c-942f-cacee05a1846"]},{"id":"ITEM-2","itemData":{"ISSN":"1525-1578","author":[{"dropping-particle":"","family":"Grumaz","given":"Christian","non-dropping-particle":"","parse-names":false,"suffix":""},{"dropping-particle":"","family":"Hoffmann","given":"Anne","non-dropping-particle":"","parse-names":false,"suffix":""},{"dropping-particle":"","family":"Vainshtein","given":"Yevhen","non-dropping-particle":"","parse-names":false,"suffix":""},{"dropping-particle":"","family":"Kopp","given":"Maria","non-dropping-particle":"","parse-names":false,"suffix":""},{"dropping-particle":"","family":"Grumaz","given":"Silke","non-dropping-particle":"","parse-names":false,"suffix":""},{"dropping-particle":"","family":"Stevens","given":"Philip","non-dropping-particle":"","parse-names":false,"suffix":""},{"dropping-particle":"","family":"Decker","given":"Sebastian O","non-dropping-particle":"","parse-names":false,"suffix":""},{"dropping-particle":"","family":"Weigand","given":"Markus A","non-dropping-particle":"","parse-names":false,"suffix":""},{"dropping-particle":"","family":"Hofer","given":"Stefan","non-dropping-particle":"","parse-names":false,"suffix":""},{"dropping-particle":"","family":"Brenner","given":"Thorsten","non-dropping-particle":"","parse-names":false,"suffix":""}],"container-title":"The Journal of Molecular Diagnostics","id":"ITEM-2","issue":"3","issued":{"date-parts":[["2020"]]},"page":"405-418","publisher":"Elsevier","title":"Rapid Next-Generation Sequencing–Based Diagnostics of Bacteremia in Septic Patients","type":"article-journal","volume":"22"},"uris":["http://www.mendeley.com/documents/?uuid=557d2a7f-73a1-4e5d-b504-c47a01a7f932"]},{"id":"ITEM-3","itemData":{"author":[{"dropping-particle":"","family":"Brenner","given":"Thorsten","non-dropping-particle":"","parse-names":false,"suffix":""},{"dropping-particle":"","family":"Decker","given":"Sebastian O","non-dropping-particle":"","parse-names":false,"suffix":""},{"dropping-particle":"","family":"Grumaz","given":"Silke","non-dropping-particle":"","parse-names":false,"suffix":""},{"dropping-particle":"","family":"Stevens","given":"Philip","non-dropping-particle":"","parse-names":false,"suffix":""},{"dropping-particle":"","family":"Bruckner","given":"Thomas","non-dropping-particle":"","parse-names":false,"suffix":""},{"dropping-particle":"","family":"Schmoch","given":"Thomas","non-dropping-particle":"","parse-names":false,"suffix":""},{"dropping-particle":"","family":"Pletz","given":"Mathias W","non-dropping-particle":"","parse-names":false,"suffix":""},{"dropping-particle":"","family":"Bracht","given":"Hendrik","non-dropping-particle":"","parse-names":false,"suffix":""},{"dropping-particle":"","family":"Hofer","given":"Stefan","non-dropping-particle":"","parse-names":false,"suffix":""},{"dropping-particle":"","family":"Marx","given":"Gernot","non-dropping-particle":"","parse-names":false,"suffix":""}],"container-title":"Medicine","id":"ITEM-3","issue":"6","issued":{"date-parts":[["2018"]]},"publisher":"Wolters Kluwer Health","title":"Next-generation sequencing diagnostics of bacteremia in sepsis (Next GeneSiS-Trial): study protocol of a prospective, observational, noninterventional, multicenter, clinical trial","type":"article-journal","volume":"97"},"uris":["http://www.mendeley.com/documents/?uuid=98e9341a-5369-4d54-90a0-22a5b60c307c"]}],"mendeley":{"formattedCitation":"(Brenner &lt;i&gt;et al.&lt;/i&gt;, 2018; Blauwkamp &lt;i&gt;et al.&lt;/i&gt;, 2019; Grumaz &lt;i&gt;et al.&lt;/i&gt;, 2020)","plainTextFormattedCitation":"(Brenner et al., 2018; Blauwkamp et al., 2019; Grumaz et al., 2020)","previouslyFormattedCitation":"(Brenner &lt;i&gt;et al.&lt;/i&gt;, 2018; Blauwkamp &lt;i&gt;et al.&lt;/i&gt;, 2019; Grumaz &lt;i&gt;et al.&lt;/i&gt;, 2020)"},"properties":{"noteIndex":0},"schema":"https://github.com/citation-style-language/schema/raw/master/csl-citation.json"}</w:instrText>
      </w:r>
      <w:r>
        <w:rPr>
          <w:rFonts w:eastAsia="Times New Roman" w:cs="Times New Roman"/>
          <w:szCs w:val="24"/>
          <w:lang w:val="en-GB"/>
        </w:rPr>
        <w:fldChar w:fldCharType="separate"/>
      </w:r>
      <w:r w:rsidRPr="006E7F3F">
        <w:rPr>
          <w:rFonts w:eastAsia="Times New Roman" w:cs="Times New Roman"/>
          <w:noProof/>
          <w:szCs w:val="24"/>
          <w:lang w:val="en-GB"/>
        </w:rPr>
        <w:t xml:space="preserve">(Brenner </w:t>
      </w:r>
      <w:r w:rsidRPr="006E7F3F">
        <w:rPr>
          <w:rFonts w:eastAsia="Times New Roman" w:cs="Times New Roman"/>
          <w:i/>
          <w:noProof/>
          <w:szCs w:val="24"/>
          <w:lang w:val="en-GB"/>
        </w:rPr>
        <w:t>et al.</w:t>
      </w:r>
      <w:r w:rsidRPr="006E7F3F">
        <w:rPr>
          <w:rFonts w:eastAsia="Times New Roman" w:cs="Times New Roman"/>
          <w:noProof/>
          <w:szCs w:val="24"/>
          <w:lang w:val="en-GB"/>
        </w:rPr>
        <w:t xml:space="preserve">, 2018; Blauwkamp </w:t>
      </w:r>
      <w:r w:rsidRPr="006E7F3F">
        <w:rPr>
          <w:rFonts w:eastAsia="Times New Roman" w:cs="Times New Roman"/>
          <w:i/>
          <w:noProof/>
          <w:szCs w:val="24"/>
          <w:lang w:val="en-GB"/>
        </w:rPr>
        <w:t>et al.</w:t>
      </w:r>
      <w:r w:rsidRPr="006E7F3F">
        <w:rPr>
          <w:rFonts w:eastAsia="Times New Roman" w:cs="Times New Roman"/>
          <w:noProof/>
          <w:szCs w:val="24"/>
          <w:lang w:val="en-GB"/>
        </w:rPr>
        <w:t xml:space="preserve">, 2019; Grumaz </w:t>
      </w:r>
      <w:r w:rsidRPr="006E7F3F">
        <w:rPr>
          <w:rFonts w:eastAsia="Times New Roman" w:cs="Times New Roman"/>
          <w:i/>
          <w:noProof/>
          <w:szCs w:val="24"/>
          <w:lang w:val="en-GB"/>
        </w:rPr>
        <w:t>et al.</w:t>
      </w:r>
      <w:r w:rsidRPr="006E7F3F">
        <w:rPr>
          <w:rFonts w:eastAsia="Times New Roman" w:cs="Times New Roman"/>
          <w:noProof/>
          <w:szCs w:val="24"/>
          <w:lang w:val="en-GB"/>
        </w:rPr>
        <w:t>, 2020)</w:t>
      </w:r>
      <w:r>
        <w:rPr>
          <w:rFonts w:eastAsia="Times New Roman" w:cs="Times New Roman"/>
          <w:szCs w:val="24"/>
          <w:lang w:val="en-GB"/>
        </w:rPr>
        <w:fldChar w:fldCharType="end"/>
      </w:r>
      <w:r>
        <w:rPr>
          <w:rFonts w:eastAsia="Times New Roman" w:cs="Times New Roman"/>
          <w:szCs w:val="24"/>
          <w:lang w:val="en-GB"/>
        </w:rPr>
        <w:t xml:space="preserve">. This suggests some level of agreement between the presence of microbial cells and their DNA in blood. Additionally, given its higher sensitivity and throughput, metagenomic sequencing appears to be the best tool currently available for gaining insights into polymicrobial infections. </w:t>
      </w:r>
    </w:p>
    <w:p w14:paraId="20C3A1B3" w14:textId="77777777" w:rsidR="00DF221B" w:rsidRDefault="00DF221B" w:rsidP="00DF221B">
      <w:pPr>
        <w:spacing w:line="480" w:lineRule="auto"/>
        <w:rPr>
          <w:rFonts w:eastAsia="Times New Roman" w:cs="Times New Roman"/>
          <w:szCs w:val="24"/>
          <w:lang w:val="en-GB"/>
        </w:rPr>
      </w:pPr>
      <w:r>
        <w:rPr>
          <w:rFonts w:eastAsia="Times New Roman" w:cs="Times New Roman"/>
          <w:szCs w:val="24"/>
          <w:lang w:val="en-GB"/>
        </w:rPr>
        <w:t xml:space="preserve">Though our results suggest the importance of multiple genera in delineating metagenomes of septic patients from that of healthy controls, the etiological contributions of these genera and their ecological relationships cannot be inferred. Such hypotheses must be confirmed experimentally. It is also important to keep in mind that the models presented in this study are not prognostic in nature, in that they were not trained to predict the onset or progression of sepsis. However, furthering our understanding of the microbial component of sepsis may prove useful in the development of better prognostic tools. </w:t>
      </w:r>
    </w:p>
    <w:p w14:paraId="0C1F18B6" w14:textId="77777777" w:rsidR="00DF221B" w:rsidRDefault="00DF221B" w:rsidP="00DF221B">
      <w:pPr>
        <w:spacing w:line="480" w:lineRule="auto"/>
        <w:rPr>
          <w:rFonts w:eastAsia="Times New Roman" w:cs="Times New Roman"/>
          <w:szCs w:val="24"/>
          <w:lang w:val="en-GB"/>
        </w:rPr>
      </w:pPr>
      <w:r>
        <w:rPr>
          <w:rFonts w:eastAsia="Times New Roman" w:cs="Times New Roman"/>
          <w:szCs w:val="24"/>
          <w:lang w:val="en-GB"/>
        </w:rPr>
        <w:t xml:space="preserve">Some genera such as </w:t>
      </w:r>
      <w:r>
        <w:rPr>
          <w:rFonts w:eastAsia="Times New Roman" w:cs="Times New Roman"/>
          <w:i/>
          <w:iCs/>
          <w:szCs w:val="24"/>
          <w:lang w:val="en-GB"/>
        </w:rPr>
        <w:t>Escherichia</w:t>
      </w:r>
      <w:r>
        <w:rPr>
          <w:rFonts w:eastAsia="Times New Roman" w:cs="Times New Roman"/>
          <w:szCs w:val="24"/>
          <w:lang w:val="en-GB"/>
        </w:rPr>
        <w:t xml:space="preserve"> and </w:t>
      </w:r>
      <w:r>
        <w:rPr>
          <w:rFonts w:eastAsia="Times New Roman" w:cs="Times New Roman"/>
          <w:i/>
          <w:iCs/>
          <w:szCs w:val="24"/>
          <w:lang w:val="en-GB"/>
        </w:rPr>
        <w:t>Enterobacter</w:t>
      </w:r>
      <w:r>
        <w:rPr>
          <w:rFonts w:eastAsia="Times New Roman" w:cs="Times New Roman"/>
          <w:szCs w:val="24"/>
          <w:lang w:val="en-GB"/>
        </w:rPr>
        <w:t xml:space="preserve"> contain both biologically relevant genera and common sequencing contaminants. As such it is expected that a proportion of DNA molecules, and hence sequencing reads, may have come from contamination rather than microorganisms endogenous to blood. The abundance of these microorganisms, as detected by metagenomic approaches, may differ from the true abundance. </w:t>
      </w:r>
    </w:p>
    <w:p w14:paraId="2003B8F0" w14:textId="77777777" w:rsidR="00DF221B" w:rsidRDefault="00DF221B" w:rsidP="00DF221B">
      <w:pPr>
        <w:spacing w:line="480" w:lineRule="auto"/>
        <w:rPr>
          <w:rFonts w:eastAsia="Times New Roman" w:cs="Times New Roman"/>
          <w:szCs w:val="24"/>
          <w:lang w:val="en-GB"/>
        </w:rPr>
      </w:pPr>
      <w:r>
        <w:rPr>
          <w:rFonts w:eastAsia="Times New Roman" w:cs="Times New Roman"/>
          <w:szCs w:val="24"/>
          <w:lang w:val="en-GB"/>
        </w:rPr>
        <w:t xml:space="preserve">Additionally, </w:t>
      </w:r>
      <w:r>
        <w:rPr>
          <w:rFonts w:eastAsia="Times New Roman" w:cs="Times New Roman"/>
          <w:i/>
          <w:iCs/>
          <w:szCs w:val="24"/>
          <w:lang w:val="en-GB"/>
        </w:rPr>
        <w:t>k</w:t>
      </w:r>
      <w:r>
        <w:rPr>
          <w:rFonts w:eastAsia="Times New Roman" w:cs="Times New Roman"/>
          <w:szCs w:val="24"/>
          <w:lang w:val="en-GB"/>
        </w:rPr>
        <w:t>-</w:t>
      </w:r>
      <w:proofErr w:type="spellStart"/>
      <w:r>
        <w:rPr>
          <w:rFonts w:eastAsia="Times New Roman" w:cs="Times New Roman"/>
          <w:szCs w:val="24"/>
          <w:lang w:val="en-GB"/>
        </w:rPr>
        <w:t>mer</w:t>
      </w:r>
      <w:proofErr w:type="spellEnd"/>
      <w:r>
        <w:rPr>
          <w:rFonts w:eastAsia="Times New Roman" w:cs="Times New Roman"/>
          <w:szCs w:val="24"/>
          <w:lang w:val="en-GB"/>
        </w:rPr>
        <w:t xml:space="preserve"> based approaches may be less accurate for taxonomic classification compared to, for example, Bayesian sequence read-assignment methods </w:t>
      </w:r>
      <w:r>
        <w:rPr>
          <w:rFonts w:eastAsia="Times New Roman" w:cs="Times New Roman"/>
          <w:szCs w:val="24"/>
          <w:lang w:val="en-GB"/>
        </w:rPr>
        <w:fldChar w:fldCharType="begin" w:fldLock="1"/>
      </w:r>
      <w:r>
        <w:rPr>
          <w:rFonts w:eastAsia="Times New Roman" w:cs="Times New Roman"/>
          <w:szCs w:val="24"/>
          <w:lang w:val="en-GB"/>
        </w:rPr>
        <w:instrText>ADDIN CSL_CITATION {"citationItems":[{"id":"ITEM-1","itemData":{"ISSN":"1460-2059","author":[{"dropping-particle":"","family":"Morfopoulou","given":"Sofia","non-dropping-particle":"","parse-names":false,"suffix":""},{"dropping-particle":"","family":"Plagnol","given":"Vincent","non-dropping-particle":"","parse-names":false,"suffix":""}],"container-title":"Bioinformatics","id":"ITEM-1","issue":"18","issued":{"date-parts":[["2015"]]},"page":"2930-2938","publisher":"Oxford University Press","title":"Bayesian mixture analysis for metagenomic community profiling","type":"article-journal","volume":"31"},"uris":["http://www.mendeley.com/documents/?uuid=cf649b2a-0b1d-40ea-aa9a-5975cfc57231"]}],"mendeley":{"formattedCitation":"(Morfopoulou and Plagnol, 2015)","plainTextFormattedCitation":"(Morfopoulou and Plagnol, 2015)","previouslyFormattedCitation":"(Morfopoulou and Plagnol, 2015)"},"properties":{"noteIndex":0},"schema":"https://github.com/citation-style-language/schema/raw/master/csl-citation.json"}</w:instrText>
      </w:r>
      <w:r>
        <w:rPr>
          <w:rFonts w:eastAsia="Times New Roman" w:cs="Times New Roman"/>
          <w:szCs w:val="24"/>
          <w:lang w:val="en-GB"/>
        </w:rPr>
        <w:fldChar w:fldCharType="separate"/>
      </w:r>
      <w:r w:rsidRPr="006E7F3F">
        <w:rPr>
          <w:rFonts w:eastAsia="Times New Roman" w:cs="Times New Roman"/>
          <w:noProof/>
          <w:szCs w:val="24"/>
          <w:lang w:val="en-GB"/>
        </w:rPr>
        <w:t>(Morfopoulou and Plagnol, 2015)</w:t>
      </w:r>
      <w:r>
        <w:rPr>
          <w:rFonts w:eastAsia="Times New Roman" w:cs="Times New Roman"/>
          <w:szCs w:val="24"/>
          <w:lang w:val="en-GB"/>
        </w:rPr>
        <w:fldChar w:fldCharType="end"/>
      </w:r>
      <w:r>
        <w:rPr>
          <w:rFonts w:eastAsia="Times New Roman" w:cs="Times New Roman"/>
          <w:szCs w:val="24"/>
          <w:lang w:val="en-GB"/>
        </w:rPr>
        <w:t xml:space="preserve">. </w:t>
      </w:r>
      <w:r>
        <w:rPr>
          <w:rFonts w:eastAsia="Times New Roman" w:cs="Times New Roman"/>
          <w:szCs w:val="24"/>
          <w:lang w:val="en-GB"/>
        </w:rPr>
        <w:lastRenderedPageBreak/>
        <w:t xml:space="preserve">As such, we used taxonomic assignments at the genus level which were shown to be, in general, more reliable than that at the species level </w:t>
      </w:r>
      <w:r>
        <w:rPr>
          <w:rFonts w:eastAsia="Times New Roman" w:cs="Times New Roman"/>
          <w:szCs w:val="24"/>
          <w:lang w:val="en-GB"/>
        </w:rPr>
        <w:fldChar w:fldCharType="begin" w:fldLock="1"/>
      </w:r>
      <w:r>
        <w:rPr>
          <w:rFonts w:eastAsia="Times New Roman" w:cs="Times New Roman"/>
          <w:szCs w:val="24"/>
          <w:lang w:val="en-GB"/>
        </w:rPr>
        <w:instrText>ADDIN CSL_CITATION {"citationItems":[{"id":"ITEM-1","itemData":{"ISSN":"1474-760X","author":[{"dropping-particle":"","family":"McIntyre","given":"Alexa B R","non-dropping-particle":"","parse-names":false,"suffix":""},{"dropping-particle":"","family":"Ounit","given":"Rachid","non-dropping-particle":"","parse-names":false,"suffix":""},{"dropping-particle":"","family":"Afshinnekoo","given":"Ebrahim","non-dropping-particle":"","parse-names":false,"suffix":""},{"dropping-particle":"","family":"Prill","given":"Robert J","non-dropping-particle":"","parse-names":false,"suffix":""},{"dropping-particle":"","family":"Hénaff","given":"Elizabeth","non-dropping-particle":"","parse-names":false,"suffix":""},{"dropping-particle":"","family":"Alexander","given":"Noah","non-dropping-particle":"","parse-names":false,"suffix":""},{"dropping-particle":"","family":"Minot","given":"Samuel S","non-dropping-particle":"","parse-names":false,"suffix":""},{"dropping-particle":"","family":"Danko","given":"David","non-dropping-particle":"","parse-names":false,"suffix":""},{"dropping-particle":"","family":"Foox","given":"Jonathan","non-dropping-particle":"","parse-names":false,"suffix":""},{"dropping-particle":"","family":"Ahsanuddin","given":"Sofia","non-dropping-particle":"","parse-names":false,"suffix":""}],"container-title":"Genome biology","id":"ITEM-1","issue":"1","issued":{"date-parts":[["2017"]]},"page":"182","publisher":"BioMed Central","title":"Comprehensive benchmarking and ensemble approaches for metagenomic classifiers","type":"article-journal","volume":"18"},"uris":["http://www.mendeley.com/documents/?uuid=3104abcc-e72b-4a04-b45a-a541cb60a99b"]}],"mendeley":{"formattedCitation":"(McIntyre &lt;i&gt;et al.&lt;/i&gt;, 2017)","plainTextFormattedCitation":"(McIntyre et al., 2017)","previouslyFormattedCitation":"(McIntyre &lt;i&gt;et al.&lt;/i&gt;, 2017)"},"properties":{"noteIndex":0},"schema":"https://github.com/citation-style-language/schema/raw/master/csl-citation.json"}</w:instrText>
      </w:r>
      <w:r>
        <w:rPr>
          <w:rFonts w:eastAsia="Times New Roman" w:cs="Times New Roman"/>
          <w:szCs w:val="24"/>
          <w:lang w:val="en-GB"/>
        </w:rPr>
        <w:fldChar w:fldCharType="separate"/>
      </w:r>
      <w:r w:rsidRPr="006E7F3F">
        <w:rPr>
          <w:rFonts w:eastAsia="Times New Roman" w:cs="Times New Roman"/>
          <w:noProof/>
          <w:szCs w:val="24"/>
          <w:lang w:val="en-GB"/>
        </w:rPr>
        <w:t xml:space="preserve">(McIntyre </w:t>
      </w:r>
      <w:r w:rsidRPr="006E7F3F">
        <w:rPr>
          <w:rFonts w:eastAsia="Times New Roman" w:cs="Times New Roman"/>
          <w:i/>
          <w:noProof/>
          <w:szCs w:val="24"/>
          <w:lang w:val="en-GB"/>
        </w:rPr>
        <w:t>et al.</w:t>
      </w:r>
      <w:r w:rsidRPr="006E7F3F">
        <w:rPr>
          <w:rFonts w:eastAsia="Times New Roman" w:cs="Times New Roman"/>
          <w:noProof/>
          <w:szCs w:val="24"/>
          <w:lang w:val="en-GB"/>
        </w:rPr>
        <w:t>, 2017)</w:t>
      </w:r>
      <w:r>
        <w:rPr>
          <w:rFonts w:eastAsia="Times New Roman" w:cs="Times New Roman"/>
          <w:szCs w:val="24"/>
          <w:lang w:val="en-GB"/>
        </w:rPr>
        <w:fldChar w:fldCharType="end"/>
      </w:r>
      <w:r>
        <w:rPr>
          <w:rFonts w:eastAsia="Times New Roman" w:cs="Times New Roman"/>
          <w:szCs w:val="24"/>
          <w:lang w:val="en-GB"/>
        </w:rPr>
        <w:t xml:space="preserve">. We also appreciate that </w:t>
      </w:r>
      <w:r>
        <w:rPr>
          <w:rFonts w:eastAsia="Times New Roman" w:cs="Times New Roman"/>
          <w:i/>
          <w:iCs/>
          <w:szCs w:val="24"/>
          <w:lang w:val="en-GB"/>
        </w:rPr>
        <w:t>k</w:t>
      </w:r>
      <w:r>
        <w:rPr>
          <w:rFonts w:eastAsia="Times New Roman" w:cs="Times New Roman"/>
          <w:szCs w:val="24"/>
          <w:lang w:val="en-GB"/>
        </w:rPr>
        <w:t>-</w:t>
      </w:r>
      <w:proofErr w:type="spellStart"/>
      <w:r>
        <w:rPr>
          <w:rFonts w:eastAsia="Times New Roman" w:cs="Times New Roman"/>
          <w:szCs w:val="24"/>
          <w:lang w:val="en-GB"/>
        </w:rPr>
        <w:t>mer</w:t>
      </w:r>
      <w:proofErr w:type="spellEnd"/>
      <w:r>
        <w:rPr>
          <w:rFonts w:eastAsia="Times New Roman" w:cs="Times New Roman"/>
          <w:szCs w:val="24"/>
          <w:lang w:val="en-GB"/>
        </w:rPr>
        <w:t xml:space="preserve"> based classification approaches are significantly faster </w:t>
      </w:r>
      <w:r>
        <w:rPr>
          <w:rFonts w:eastAsia="Times New Roman" w:cs="Times New Roman"/>
          <w:szCs w:val="24"/>
          <w:lang w:val="en-GB"/>
        </w:rPr>
        <w:fldChar w:fldCharType="begin" w:fldLock="1"/>
      </w:r>
      <w:r>
        <w:rPr>
          <w:rFonts w:eastAsia="Times New Roman" w:cs="Times New Roman"/>
          <w:szCs w:val="24"/>
          <w:lang w:val="en-GB"/>
        </w:rPr>
        <w:instrText>ADDIN CSL_CITATION {"citationItems":[{"id":"ITEM-1","itemData":{"ISSN":"0092-8674","author":[{"dropping-particle":"","family":"Simon","given":"H Ye","non-dropping-particle":"","parse-names":false,"suffix":""},{"dropping-particle":"","family":"Siddle","given":"Katherine J","non-dropping-particle":"","parse-names":false,"suffix":""},{"dropping-particle":"","family":"Park","given":"Daniel J","non-dropping-particle":"","parse-names":false,"suffix":""},{"dropping-particle":"","family":"Sabeti","given":"Pardis C","non-dropping-particle":"","parse-names":false,"suffix":""}],"container-title":"Cell","id":"ITEM-1","issue":"4","issued":{"date-parts":[["2019"]]},"page":"779-794","publisher":"Elsevier","title":"Benchmarking metagenomics tools for taxonomic classification","type":"article-journal","volume":"178"},"uris":["http://www.mendeley.com/documents/?uuid=9b0a6072-e0ae-41f7-b4de-66dd3041eabb"]}],"mendeley":{"formattedCitation":"(Simon &lt;i&gt;et al.&lt;/i&gt;, 2019)","plainTextFormattedCitation":"(Simon et al., 2019)","previouslyFormattedCitation":"(Simon &lt;i&gt;et al.&lt;/i&gt;, 2019)"},"properties":{"noteIndex":0},"schema":"https://github.com/citation-style-language/schema/raw/master/csl-citation.json"}</w:instrText>
      </w:r>
      <w:r>
        <w:rPr>
          <w:rFonts w:eastAsia="Times New Roman" w:cs="Times New Roman"/>
          <w:szCs w:val="24"/>
          <w:lang w:val="en-GB"/>
        </w:rPr>
        <w:fldChar w:fldCharType="separate"/>
      </w:r>
      <w:r w:rsidRPr="006E7F3F">
        <w:rPr>
          <w:rFonts w:eastAsia="Times New Roman" w:cs="Times New Roman"/>
          <w:noProof/>
          <w:szCs w:val="24"/>
          <w:lang w:val="en-GB"/>
        </w:rPr>
        <w:t xml:space="preserve">(Simon </w:t>
      </w:r>
      <w:r w:rsidRPr="006E7F3F">
        <w:rPr>
          <w:rFonts w:eastAsia="Times New Roman" w:cs="Times New Roman"/>
          <w:i/>
          <w:noProof/>
          <w:szCs w:val="24"/>
          <w:lang w:val="en-GB"/>
        </w:rPr>
        <w:t>et al.</w:t>
      </w:r>
      <w:r w:rsidRPr="006E7F3F">
        <w:rPr>
          <w:rFonts w:eastAsia="Times New Roman" w:cs="Times New Roman"/>
          <w:noProof/>
          <w:szCs w:val="24"/>
          <w:lang w:val="en-GB"/>
        </w:rPr>
        <w:t>, 2019)</w:t>
      </w:r>
      <w:r>
        <w:rPr>
          <w:rFonts w:eastAsia="Times New Roman" w:cs="Times New Roman"/>
          <w:szCs w:val="24"/>
          <w:lang w:val="en-GB"/>
        </w:rPr>
        <w:fldChar w:fldCharType="end"/>
      </w:r>
      <w:r>
        <w:rPr>
          <w:rFonts w:eastAsia="Times New Roman" w:cs="Times New Roman"/>
          <w:szCs w:val="24"/>
          <w:lang w:val="en-GB"/>
        </w:rPr>
        <w:t>, which may provide clinically relevant turnaround times that are important in sepsis diagnostics.</w:t>
      </w:r>
    </w:p>
    <w:p w14:paraId="49DA9937" w14:textId="77777777" w:rsidR="00DF221B" w:rsidRDefault="00DF221B" w:rsidP="00DF221B">
      <w:pPr>
        <w:spacing w:line="480" w:lineRule="auto"/>
        <w:rPr>
          <w:rFonts w:eastAsia="Times New Roman" w:cs="Times New Roman"/>
          <w:szCs w:val="24"/>
          <w:lang w:val="en-GB"/>
        </w:rPr>
      </w:pPr>
      <w:r>
        <w:rPr>
          <w:rFonts w:eastAsia="Times New Roman" w:cs="Times New Roman"/>
          <w:szCs w:val="24"/>
          <w:lang w:val="en-GB"/>
        </w:rPr>
        <w:t>Finally, we acknowledge the relatively small size of the datasets used in our analyses. As a result, the models presented in this study are not yet robust enough to be used in a clinical context. A larger and more diverse dataset is required to develop such models. This is to ensure that models can learn a more generalisable decision boundary for accurate sepsis diagnosis.</w:t>
      </w:r>
    </w:p>
    <w:p w14:paraId="39D3FC53" w14:textId="1C7D2771" w:rsidR="00DF221B" w:rsidRPr="00DF221B" w:rsidRDefault="00DF221B" w:rsidP="00DF221B">
      <w:pPr>
        <w:spacing w:line="480" w:lineRule="auto"/>
        <w:rPr>
          <w:rFonts w:eastAsia="Times New Roman" w:cs="Times New Roman"/>
          <w:szCs w:val="24"/>
          <w:lang w:val="en-GB"/>
        </w:rPr>
      </w:pPr>
      <w:r>
        <w:rPr>
          <w:rFonts w:eastAsia="Times New Roman" w:cs="Times New Roman"/>
          <w:szCs w:val="24"/>
          <w:lang w:val="en-GB"/>
        </w:rPr>
        <w:t>Irrespective of these limitations, our results nonetheless demonstrate the importance of considering the full polymicrobial component of sepsis and suggest that a metagenomics-based approach may provide biological and clinical insights supporting the future development of rapid diagnostic tools.</w:t>
      </w:r>
    </w:p>
    <w:p w14:paraId="32AD194C" w14:textId="77777777" w:rsidR="00604853" w:rsidRPr="00604853" w:rsidRDefault="00604853" w:rsidP="00604853">
      <w:pPr>
        <w:rPr>
          <w:lang w:val="en-GB"/>
        </w:rPr>
      </w:pPr>
    </w:p>
    <w:p w14:paraId="745AEEC7" w14:textId="085EE5F5" w:rsidR="00C217C3" w:rsidRPr="00C217C3" w:rsidRDefault="00C217C3" w:rsidP="00DF221B">
      <w:pPr>
        <w:pStyle w:val="Heading2"/>
        <w:rPr>
          <w:lang w:val="en-GB"/>
        </w:rPr>
      </w:pPr>
      <w:r>
        <w:rPr>
          <w:lang w:val="en-GB"/>
        </w:rPr>
        <w:t>Clinical implications of the blood microbiome</w:t>
      </w:r>
    </w:p>
    <w:p w14:paraId="78EF3AD5" w14:textId="3E156182" w:rsidR="00374042" w:rsidRDefault="00374042" w:rsidP="00374042">
      <w:pPr>
        <w:pStyle w:val="Heading1"/>
        <w:rPr>
          <w:lang w:val="en-GB"/>
        </w:rPr>
      </w:pPr>
      <w:r>
        <w:rPr>
          <w:lang w:val="en-GB"/>
        </w:rPr>
        <w:t>Methods</w:t>
      </w:r>
    </w:p>
    <w:p w14:paraId="554A9D01" w14:textId="7DE9CC67" w:rsidR="007F0B09" w:rsidRDefault="007F0B09" w:rsidP="007F0B09">
      <w:r w:rsidRPr="007F0B09">
        <w:rPr>
          <w:highlight w:val="yellow"/>
        </w:rPr>
        <w:t xml:space="preserve">The taxonomic assignments for the reads were aggregated to generate an abundance matrix where samples are represented as rows and genera as columns. Each element in the matrix represents the number of reads assigned to a particular genus for a single sample. This abundance matrix was </w:t>
      </w:r>
      <w:proofErr w:type="gramStart"/>
      <w:r w:rsidRPr="007F0B09">
        <w:rPr>
          <w:highlight w:val="yellow"/>
        </w:rPr>
        <w:t>used</w:t>
      </w:r>
      <w:proofErr w:type="gramEnd"/>
    </w:p>
    <w:p w14:paraId="0D5387A7" w14:textId="528EFB77" w:rsidR="009D4340" w:rsidRDefault="009D4340" w:rsidP="009D4340">
      <w:pPr>
        <w:pStyle w:val="Heading2"/>
        <w:rPr>
          <w:lang w:val="en-GB"/>
        </w:rPr>
      </w:pPr>
      <w:r>
        <w:rPr>
          <w:lang w:val="en-GB"/>
        </w:rPr>
        <w:t>Sample</w:t>
      </w:r>
      <w:r w:rsidR="00A2315B">
        <w:rPr>
          <w:lang w:val="en-GB"/>
        </w:rPr>
        <w:t xml:space="preserve"> collection</w:t>
      </w:r>
    </w:p>
    <w:p w14:paraId="5A68A974" w14:textId="25BF99A9" w:rsidR="00A2315B" w:rsidRPr="00A2315B" w:rsidRDefault="00A2315B" w:rsidP="00A2315B">
      <w:pPr>
        <w:rPr>
          <w:lang w:val="en-GB"/>
        </w:rPr>
      </w:pPr>
      <w:r>
        <w:rPr>
          <w:color w:val="000000"/>
          <w:shd w:val="clear" w:color="auto" w:fill="FFFFFF"/>
        </w:rPr>
        <w:t xml:space="preserve">Phlebotomies were carried out on 13 female and 10 male </w:t>
      </w:r>
      <w:r w:rsidR="00C20869">
        <w:rPr>
          <w:color w:val="000000"/>
          <w:shd w:val="clear" w:color="auto" w:fill="FFFFFF"/>
        </w:rPr>
        <w:t>volunteers</w:t>
      </w:r>
      <w:r>
        <w:rPr>
          <w:color w:val="000000"/>
          <w:shd w:val="clear" w:color="auto" w:fill="FFFFFF"/>
        </w:rPr>
        <w:t xml:space="preserve"> (median age = 59). These individuals had no clinical symptoms of bloodstream infections and had normal levels of the C-reactive protein inflammatory marker</w:t>
      </w:r>
      <w:r>
        <w:rPr>
          <w:color w:val="000000"/>
          <w:shd w:val="clear" w:color="auto" w:fill="FFFFFF"/>
        </w:rPr>
        <w:t xml:space="preserve">. </w:t>
      </w:r>
      <w:r w:rsidR="00C20869">
        <w:rPr>
          <w:color w:val="000000"/>
          <w:shd w:val="clear" w:color="auto" w:fill="FFFFFF"/>
        </w:rPr>
        <w:t>All volunteers were not undergoing antibiotic treatment prior to sample collection.</w:t>
      </w:r>
      <w:r w:rsidR="000757E0">
        <w:rPr>
          <w:color w:val="000000"/>
          <w:shd w:val="clear" w:color="auto" w:fill="FFFFFF"/>
        </w:rPr>
        <w:t xml:space="preserve"> </w:t>
      </w:r>
      <w:r>
        <w:rPr>
          <w:color w:val="000000"/>
          <w:shd w:val="clear" w:color="auto" w:fill="FFFFFF"/>
        </w:rPr>
        <w:t xml:space="preserve">Blood samples </w:t>
      </w:r>
      <w:r w:rsidR="000757E0">
        <w:rPr>
          <w:color w:val="000000"/>
          <w:shd w:val="clear" w:color="auto" w:fill="FFFFFF"/>
        </w:rPr>
        <w:t>were collected in 4</w:t>
      </w:r>
      <w:r>
        <w:rPr>
          <w:color w:val="000000"/>
          <w:shd w:val="clear" w:color="auto" w:fill="FFFFFF"/>
        </w:rPr>
        <w:t>ml Vacutainer K3E (</w:t>
      </w:r>
      <w:proofErr w:type="spellStart"/>
      <w:r>
        <w:rPr>
          <w:color w:val="000000"/>
          <w:shd w:val="clear" w:color="auto" w:fill="FFFFFF"/>
        </w:rPr>
        <w:t>BectonDickinson</w:t>
      </w:r>
      <w:proofErr w:type="spellEnd"/>
      <w:r>
        <w:rPr>
          <w:color w:val="000000"/>
          <w:shd w:val="clear" w:color="auto" w:fill="FFFFFF"/>
        </w:rPr>
        <w:t>) tubes.</w:t>
      </w:r>
    </w:p>
    <w:p w14:paraId="5A044853" w14:textId="3000280F" w:rsidR="009D4340" w:rsidRDefault="009D4340" w:rsidP="009D4340">
      <w:pPr>
        <w:pStyle w:val="Heading2"/>
        <w:rPr>
          <w:lang w:val="en-GB"/>
        </w:rPr>
      </w:pPr>
      <w:r>
        <w:rPr>
          <w:lang w:val="en-GB"/>
        </w:rPr>
        <w:lastRenderedPageBreak/>
        <w:t>DNA extraction and quantitation</w:t>
      </w:r>
    </w:p>
    <w:p w14:paraId="143880BD" w14:textId="7DAFFEAC" w:rsidR="00E259E3" w:rsidRPr="00E259E3" w:rsidRDefault="00E259E3" w:rsidP="00E259E3">
      <w:pPr>
        <w:rPr>
          <w:lang w:val="en-GB"/>
        </w:rPr>
      </w:pPr>
      <w:r w:rsidRPr="00E259E3">
        <w:rPr>
          <w:lang w:val="en-GB"/>
        </w:rPr>
        <w:t>Microbial DNA</w:t>
      </w:r>
      <w:r w:rsidR="009422B2">
        <w:rPr>
          <w:lang w:val="en-GB"/>
        </w:rPr>
        <w:t xml:space="preserve"> was extracted from blood using the protocol described previously</w:t>
      </w:r>
      <w:r>
        <w:rPr>
          <w:lang w:val="en-GB"/>
        </w:rPr>
        <w:t xml:space="preserve"> </w:t>
      </w:r>
      <w:r w:rsidRPr="00E259E3">
        <w:rPr>
          <w:lang w:val="en-GB"/>
        </w:rPr>
        <w:t>according to the method described by Gosiewski et al. with the employment of a ready-to-use Blood Mini kit (A&amp;A Biotechnology)</w:t>
      </w:r>
      <w:r>
        <w:rPr>
          <w:lang w:val="en-GB"/>
        </w:rPr>
        <w:t xml:space="preserve">. </w:t>
      </w:r>
    </w:p>
    <w:p w14:paraId="56AF9831" w14:textId="77777777" w:rsidR="00E259E3" w:rsidRPr="00E259E3" w:rsidRDefault="00E259E3" w:rsidP="00E259E3">
      <w:pPr>
        <w:rPr>
          <w:lang w:val="en-GB"/>
        </w:rPr>
      </w:pPr>
    </w:p>
    <w:p w14:paraId="110DA2DD" w14:textId="296E7F39" w:rsidR="00E259E3" w:rsidRPr="00E259E3" w:rsidRDefault="00E259E3" w:rsidP="00E259E3">
      <w:pPr>
        <w:rPr>
          <w:lang w:val="en-GB"/>
        </w:rPr>
      </w:pPr>
      <w:r w:rsidRPr="00E259E3">
        <w:rPr>
          <w:lang w:val="en-GB"/>
        </w:rPr>
        <w:t>The concentration and purity of total DNA isolates in the samples were measured spectrophotometrically (</w:t>
      </w:r>
      <w:proofErr w:type="spellStart"/>
      <w:r w:rsidRPr="00E259E3">
        <w:rPr>
          <w:lang w:val="en-GB"/>
        </w:rPr>
        <w:t>NanoDrop</w:t>
      </w:r>
      <w:proofErr w:type="spellEnd"/>
      <w:r w:rsidRPr="00E259E3">
        <w:rPr>
          <w:lang w:val="en-GB"/>
        </w:rPr>
        <w:t>, Thermo Scientific) at wavelengths of A260 and A280.</w:t>
      </w:r>
    </w:p>
    <w:p w14:paraId="5FD963D4" w14:textId="03003A69" w:rsidR="009D4340" w:rsidRPr="009D4340" w:rsidRDefault="009D4340" w:rsidP="009D4340">
      <w:pPr>
        <w:pStyle w:val="Heading2"/>
        <w:rPr>
          <w:lang w:val="en-GB"/>
        </w:rPr>
      </w:pPr>
      <w:r w:rsidRPr="009D4340">
        <w:rPr>
          <w:lang w:val="en-GB"/>
        </w:rPr>
        <w:t xml:space="preserve">16S </w:t>
      </w:r>
      <w:r>
        <w:rPr>
          <w:lang w:val="en-GB"/>
        </w:rPr>
        <w:t>l</w:t>
      </w:r>
      <w:r w:rsidRPr="009D4340">
        <w:rPr>
          <w:lang w:val="en-GB"/>
        </w:rPr>
        <w:t>ibrary preparation and sequencing</w:t>
      </w:r>
    </w:p>
    <w:p w14:paraId="46EFFA8E" w14:textId="77777777" w:rsidR="00374042" w:rsidRPr="00B94335" w:rsidRDefault="00374042" w:rsidP="00B94335">
      <w:pPr>
        <w:pStyle w:val="Heading2"/>
        <w:rPr>
          <w:rStyle w:val="Heading3Char"/>
          <w:b/>
          <w:szCs w:val="26"/>
        </w:rPr>
      </w:pPr>
      <w:r w:rsidRPr="00B94335">
        <w:rPr>
          <w:rStyle w:val="Heading3Char"/>
          <w:b/>
          <w:szCs w:val="26"/>
        </w:rPr>
        <w:t>Data pre-processing</w:t>
      </w:r>
    </w:p>
    <w:p w14:paraId="7F6BEB08" w14:textId="2DD427DC" w:rsidR="00374042" w:rsidRDefault="00374042" w:rsidP="00374042">
      <w:pPr>
        <w:spacing w:line="480" w:lineRule="auto"/>
        <w:rPr>
          <w:rFonts w:cs="Times New Roman"/>
          <w:lang w:val="en-GB"/>
        </w:rPr>
      </w:pPr>
      <w:r>
        <w:rPr>
          <w:rFonts w:cs="Times New Roman"/>
          <w:szCs w:val="24"/>
          <w:lang w:val="en-GB"/>
        </w:rPr>
        <w:t xml:space="preserve">As described in the Karius study, input circulating free DNA was sequenced using NextSeq500 (75-cycle PCR, 1 x 75 nucleotides). Raw Illumina sequencing reads were demultiplexed by bcl2fastq (v2.17.1.14; default parameters) and quality trimmed using </w:t>
      </w:r>
      <w:proofErr w:type="spellStart"/>
      <w:r>
        <w:rPr>
          <w:rFonts w:cs="Times New Roman"/>
          <w:i/>
          <w:iCs/>
          <w:szCs w:val="24"/>
          <w:lang w:val="en-GB"/>
        </w:rPr>
        <w:t>Trimmomatic</w:t>
      </w:r>
      <w:proofErr w:type="spellEnd"/>
      <w:r>
        <w:rPr>
          <w:rFonts w:cs="Times New Roman"/>
          <w:szCs w:val="24"/>
          <w:lang w:val="en-GB"/>
        </w:rPr>
        <w:t xml:space="preserve"> (v0.32) </w:t>
      </w:r>
      <w:r>
        <w:rPr>
          <w:rFonts w:cs="Times New Roman"/>
          <w:szCs w:val="24"/>
          <w:lang w:val="en-GB"/>
        </w:rPr>
        <w:fldChar w:fldCharType="begin" w:fldLock="1"/>
      </w:r>
      <w:r w:rsidR="00AF7E98">
        <w:rPr>
          <w:rFonts w:cs="Times New Roman"/>
          <w:szCs w:val="24"/>
          <w:lang w:val="en-GB"/>
        </w:rPr>
        <w:instrText>ADDIN CSL_CITATION {"citationItems":[{"id":"ITEM-1","itemData":{"ISSN":"1460-2059","author":[{"dropping-particle":"","family":"Bolger","given":"Anthony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page":"2114-2120","publisher":"Oxford University Press","title":"Trimmomatic: a flexible trimmer for Illumina sequence data","type":"article-journal","volume":"30"},"uris":["http://www.mendeley.com/documents/?uuid=c749eef8-68e8-4486-85fc-15738fc8710b"]}],"mendeley":{"formattedCitation":"(Bolger, Lohse and Usadel, 2014)","plainTextFormattedCitation":"(Bolger, Lohse and Usadel, 2014)","previouslyFormattedCitation":"(Bolger, Lohse and Usadel, 2014)"},"properties":{"noteIndex":0},"schema":"https://github.com/citation-style-language/schema/raw/master/csl-citation.json"}</w:instrText>
      </w:r>
      <w:r>
        <w:rPr>
          <w:rFonts w:cs="Times New Roman"/>
          <w:szCs w:val="24"/>
          <w:lang w:val="en-GB"/>
        </w:rPr>
        <w:fldChar w:fldCharType="separate"/>
      </w:r>
      <w:r w:rsidR="006E7F3F" w:rsidRPr="006E7F3F">
        <w:rPr>
          <w:rFonts w:cs="Times New Roman"/>
          <w:noProof/>
          <w:szCs w:val="24"/>
          <w:lang w:val="en-GB"/>
        </w:rPr>
        <w:t>(Bolger, Lohse and Usadel, 2014)</w:t>
      </w:r>
      <w:r>
        <w:rPr>
          <w:rFonts w:cs="Times New Roman"/>
          <w:szCs w:val="24"/>
          <w:lang w:val="en-GB"/>
        </w:rPr>
        <w:fldChar w:fldCharType="end"/>
      </w:r>
      <w:r>
        <w:rPr>
          <w:rFonts w:cs="Times New Roman"/>
          <w:szCs w:val="24"/>
          <w:lang w:val="en-GB"/>
        </w:rPr>
        <w:t xml:space="preserve"> retaining reads with a quality (Q-score) above 20. Mapping and alignment were performed using </w:t>
      </w:r>
      <w:r>
        <w:rPr>
          <w:rFonts w:cs="Times New Roman"/>
          <w:i/>
          <w:iCs/>
          <w:szCs w:val="24"/>
          <w:lang w:val="en-GB"/>
        </w:rPr>
        <w:t>Bowtie</w:t>
      </w:r>
      <w:r>
        <w:rPr>
          <w:rFonts w:cs="Times New Roman"/>
          <w:szCs w:val="24"/>
          <w:lang w:val="en-GB"/>
        </w:rPr>
        <w:t xml:space="preserve"> (v2.2.4) </w:t>
      </w:r>
      <w:r>
        <w:rPr>
          <w:rFonts w:cs="Times New Roman"/>
          <w:szCs w:val="24"/>
          <w:lang w:val="en-GB"/>
        </w:rPr>
        <w:fldChar w:fldCharType="begin" w:fldLock="1"/>
      </w:r>
      <w:r w:rsidR="00AF7E98">
        <w:rPr>
          <w:rFonts w:cs="Times New Roman"/>
          <w:szCs w:val="24"/>
          <w:lang w:val="en-GB"/>
        </w:rPr>
        <w:instrText>ADDIN CSL_CITATION {"citationItems":[{"id":"ITEM-1","itemData":{"ISSN":"1474-760X","author":[{"dropping-particle":"","family":"Langmead","given":"Ben","non-dropping-particle":"","parse-names":false,"suffix":""},{"dropping-particle":"","family":"Trapnell","given":"Cole","non-dropping-particle":"","parse-names":false,"suffix":""},{"dropping-particle":"","family":"Pop","given":"Mihai","non-dropping-particle":"","parse-names":false,"suffix":""},{"dropping-particle":"","family":"Salzberg","given":"Steven L","non-dropping-particle":"","parse-names":false,"suffix":""}],"container-title":"Genome biology","id":"ITEM-1","issue":"3","issued":{"date-parts":[["2009"]]},"page":"R25","publisher":"Springer","title":"Ultrafast and memory-efficient alignment of short DNA sequences to the human genome","type":"article-journal","volume":"10"},"uris":["http://www.mendeley.com/documents/?uuid=2809c76d-7b40-4c51-ab9a-21a1404e98f4"]}],"mendeley":{"formattedCitation":"(Langmead &lt;i&gt;et al.&lt;/i&gt;, 2009)","plainTextFormattedCitation":"(Langmead et al., 2009)","previouslyFormattedCitation":"(Langmead &lt;i&gt;et al.&lt;/i&gt;, 2009)"},"properties":{"noteIndex":0},"schema":"https://github.com/citation-style-language/schema/raw/master/csl-citation.json"}</w:instrText>
      </w:r>
      <w:r>
        <w:rPr>
          <w:rFonts w:cs="Times New Roman"/>
          <w:szCs w:val="24"/>
          <w:lang w:val="en-GB"/>
        </w:rPr>
        <w:fldChar w:fldCharType="separate"/>
      </w:r>
      <w:r w:rsidR="006E7F3F" w:rsidRPr="006E7F3F">
        <w:rPr>
          <w:rFonts w:cs="Times New Roman"/>
          <w:noProof/>
          <w:szCs w:val="24"/>
          <w:lang w:val="en-GB"/>
        </w:rPr>
        <w:t xml:space="preserve">(Langmead </w:t>
      </w:r>
      <w:r w:rsidR="006E7F3F" w:rsidRPr="006E7F3F">
        <w:rPr>
          <w:rFonts w:cs="Times New Roman"/>
          <w:i/>
          <w:noProof/>
          <w:szCs w:val="24"/>
          <w:lang w:val="en-GB"/>
        </w:rPr>
        <w:t>et al.</w:t>
      </w:r>
      <w:r w:rsidR="006E7F3F" w:rsidRPr="006E7F3F">
        <w:rPr>
          <w:rFonts w:cs="Times New Roman"/>
          <w:noProof/>
          <w:szCs w:val="24"/>
          <w:lang w:val="en-GB"/>
        </w:rPr>
        <w:t>, 2009)</w:t>
      </w:r>
      <w:r>
        <w:rPr>
          <w:rFonts w:cs="Times New Roman"/>
          <w:szCs w:val="24"/>
          <w:lang w:val="en-GB"/>
        </w:rPr>
        <w:fldChar w:fldCharType="end"/>
      </w:r>
      <w:r>
        <w:rPr>
          <w:rFonts w:cs="Times New Roman"/>
          <w:szCs w:val="24"/>
          <w:lang w:val="en-GB"/>
        </w:rPr>
        <w:t xml:space="preserve">. Human reads were identified by mapping to the human reference genome and removed prior to deposition in NCBI’s Sequence Read Archive (PRJNA507824). </w:t>
      </w:r>
    </w:p>
    <w:p w14:paraId="6A247CC0" w14:textId="3C1D9C2E" w:rsidR="00374042" w:rsidRDefault="00374042" w:rsidP="00374042">
      <w:pPr>
        <w:spacing w:line="480" w:lineRule="auto"/>
        <w:rPr>
          <w:rFonts w:cs="Times New Roman"/>
          <w:szCs w:val="24"/>
          <w:lang w:val="en-GB"/>
        </w:rPr>
      </w:pPr>
      <w:r>
        <w:rPr>
          <w:rFonts w:cs="Times New Roman"/>
          <w:szCs w:val="24"/>
          <w:lang w:val="en-GB"/>
        </w:rPr>
        <w:t xml:space="preserve">For Grumaz-16 and Grumaz-19, </w:t>
      </w:r>
      <w:proofErr w:type="spellStart"/>
      <w:r>
        <w:rPr>
          <w:rFonts w:cs="Times New Roman"/>
          <w:i/>
          <w:iCs/>
          <w:szCs w:val="24"/>
          <w:lang w:val="en-GB"/>
        </w:rPr>
        <w:t>BBMap</w:t>
      </w:r>
      <w:proofErr w:type="spellEnd"/>
      <w:r>
        <w:rPr>
          <w:rFonts w:cs="Times New Roman"/>
          <w:szCs w:val="24"/>
          <w:lang w:val="en-GB"/>
        </w:rPr>
        <w:t xml:space="preserve"> (v38.79) </w:t>
      </w:r>
      <w:r>
        <w:rPr>
          <w:rFonts w:cs="Times New Roman"/>
          <w:szCs w:val="24"/>
          <w:lang w:val="en-GB"/>
        </w:rPr>
        <w:fldChar w:fldCharType="begin" w:fldLock="1"/>
      </w:r>
      <w:r w:rsidR="00AF7E98">
        <w:rPr>
          <w:rFonts w:cs="Times New Roman"/>
          <w:szCs w:val="24"/>
          <w:lang w:val="en-GB"/>
        </w:rPr>
        <w:instrText>ADDIN CSL_CITATION {"citationItems":[{"id":"ITEM-1","itemData":{"author":[{"dropping-particle":"","family":"Bushnell","given":"Brian","non-dropping-particle":"","parse-names":false,"suffix":""}],"id":"ITEM-1","issued":{"date-parts":[["2014"]]},"publisher":"Lawrence Berkeley National Lab.(LBNL), Berkeley, CA (United States)","title":"BBMap: a fast, accurate, splice-aware aligner","type":"report"},"uris":["http://www.mendeley.com/documents/?uuid=5fe08032-3d56-4f40-826c-ca3fb06fb98f"]}],"mendeley":{"formattedCitation":"(Bushnell, 2014)","plainTextFormattedCitation":"(Bushnell, 2014)","previouslyFormattedCitation":"(Bushnell, 2014)"},"properties":{"noteIndex":0},"schema":"https://github.com/citation-style-language/schema/raw/master/csl-citation.json"}</w:instrText>
      </w:r>
      <w:r>
        <w:rPr>
          <w:rFonts w:cs="Times New Roman"/>
          <w:szCs w:val="24"/>
          <w:lang w:val="en-GB"/>
        </w:rPr>
        <w:fldChar w:fldCharType="separate"/>
      </w:r>
      <w:r w:rsidR="006E7F3F" w:rsidRPr="006E7F3F">
        <w:rPr>
          <w:rFonts w:cs="Times New Roman"/>
          <w:noProof/>
          <w:szCs w:val="24"/>
          <w:lang w:val="en-GB"/>
        </w:rPr>
        <w:t>(Bushnell, 2014)</w:t>
      </w:r>
      <w:r>
        <w:rPr>
          <w:rFonts w:cs="Times New Roman"/>
          <w:szCs w:val="24"/>
          <w:lang w:val="en-GB"/>
        </w:rPr>
        <w:fldChar w:fldCharType="end"/>
      </w:r>
      <w:r>
        <w:rPr>
          <w:rFonts w:cs="Times New Roman"/>
          <w:szCs w:val="24"/>
          <w:lang w:val="en-GB"/>
        </w:rPr>
        <w:t xml:space="preserve"> was used to trim adapter sequences, remove reads with a Q-score below 20 and remove reads mapping to the masked human hg19 reference (https://tinyurl.com/yya4xmrg). For the </w:t>
      </w:r>
      <w:r>
        <w:rPr>
          <w:rFonts w:eastAsia="Times New Roman" w:cs="Times New Roman"/>
          <w:szCs w:val="24"/>
          <w:lang w:val="en-GB"/>
        </w:rPr>
        <w:t xml:space="preserve">Gosiewski-17 dataset, we performed the same pre-processing steps as reported in the associated study </w:t>
      </w:r>
      <w:r>
        <w:rPr>
          <w:rFonts w:eastAsia="Times New Roman" w:cs="Times New Roman"/>
          <w:szCs w:val="24"/>
          <w:lang w:val="en-GB"/>
        </w:rPr>
        <w:fldChar w:fldCharType="begin" w:fldLock="1"/>
      </w:r>
      <w:r w:rsidR="00AF7E98">
        <w:rPr>
          <w:rFonts w:eastAsia="Times New Roman" w:cs="Times New Roman"/>
          <w:szCs w:val="24"/>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DNAemia","type":"article-journal","volume":"36"},"uris":["http://www.mendeley.com/documents/?uuid=62f9084b-96ca-44d1-89bc-b8a31e5ed56d"]}],"mendeley":{"formattedCitation":"(Gosiewski &lt;i&gt;et al.&lt;/i&gt;, 2017)","plainTextFormattedCitation":"(Gosiewski et al., 2017)","previouslyFormattedCitation":"(Gosiewski &lt;i&gt;et al.&lt;/i&gt;, 2017)"},"properties":{"noteIndex":0},"schema":"https://github.com/citation-style-language/schema/raw/master/csl-citation.json"}</w:instrText>
      </w:r>
      <w:r>
        <w:rPr>
          <w:rFonts w:eastAsia="Times New Roman" w:cs="Times New Roman"/>
          <w:szCs w:val="24"/>
          <w:lang w:val="en-GB"/>
        </w:rPr>
        <w:fldChar w:fldCharType="separate"/>
      </w:r>
      <w:r w:rsidR="006E7F3F" w:rsidRPr="006E7F3F">
        <w:rPr>
          <w:rFonts w:eastAsia="Times New Roman" w:cs="Times New Roman"/>
          <w:noProof/>
          <w:szCs w:val="24"/>
          <w:lang w:val="en-GB"/>
        </w:rPr>
        <w:t xml:space="preserve">(Gosiewski </w:t>
      </w:r>
      <w:r w:rsidR="006E7F3F" w:rsidRPr="006E7F3F">
        <w:rPr>
          <w:rFonts w:eastAsia="Times New Roman" w:cs="Times New Roman"/>
          <w:i/>
          <w:noProof/>
          <w:szCs w:val="24"/>
          <w:lang w:val="en-GB"/>
        </w:rPr>
        <w:t>et al.</w:t>
      </w:r>
      <w:r w:rsidR="006E7F3F" w:rsidRPr="006E7F3F">
        <w:rPr>
          <w:rFonts w:eastAsia="Times New Roman" w:cs="Times New Roman"/>
          <w:noProof/>
          <w:szCs w:val="24"/>
          <w:lang w:val="en-GB"/>
        </w:rPr>
        <w:t>, 2017)</w:t>
      </w:r>
      <w:r>
        <w:rPr>
          <w:rFonts w:eastAsia="Times New Roman" w:cs="Times New Roman"/>
          <w:szCs w:val="24"/>
          <w:lang w:val="en-GB"/>
        </w:rPr>
        <w:fldChar w:fldCharType="end"/>
      </w:r>
      <w:r>
        <w:rPr>
          <w:rFonts w:eastAsia="Times New Roman" w:cs="Times New Roman"/>
          <w:szCs w:val="24"/>
          <w:lang w:val="en-GB"/>
        </w:rPr>
        <w:t xml:space="preserve">. Briefly, primers and adapters were removed using </w:t>
      </w:r>
      <w:proofErr w:type="spellStart"/>
      <w:r>
        <w:rPr>
          <w:rFonts w:eastAsia="Times New Roman" w:cs="Times New Roman"/>
          <w:i/>
          <w:iCs/>
          <w:szCs w:val="24"/>
          <w:lang w:val="en-GB"/>
        </w:rPr>
        <w:t>Cutadapt</w:t>
      </w:r>
      <w:proofErr w:type="spellEnd"/>
      <w:r>
        <w:rPr>
          <w:rFonts w:eastAsia="Times New Roman" w:cs="Times New Roman"/>
          <w:szCs w:val="24"/>
          <w:lang w:val="en-GB"/>
        </w:rPr>
        <w:t xml:space="preserve"> </w:t>
      </w:r>
      <w:r>
        <w:rPr>
          <w:rFonts w:cs="Times New Roman"/>
          <w:szCs w:val="24"/>
          <w:lang w:val="en-GB"/>
        </w:rPr>
        <w:t xml:space="preserve">(v1.18) </w:t>
      </w:r>
      <w:r>
        <w:rPr>
          <w:rFonts w:cs="Times New Roman"/>
          <w:szCs w:val="24"/>
          <w:lang w:val="en-GB"/>
        </w:rPr>
        <w:fldChar w:fldCharType="begin" w:fldLock="1"/>
      </w:r>
      <w:r w:rsidR="00AF7E98">
        <w:rPr>
          <w:rFonts w:cs="Times New Roman"/>
          <w:szCs w:val="24"/>
          <w:lang w:val="en-GB"/>
        </w:rPr>
        <w:instrText>ADDIN CSL_CITATION {"citationItems":[{"id":"ITEM-1","itemData":{"ISSN":"2226-6089","author":[{"dropping-particle":"","family":"Martin","given":"Marcel","non-dropping-particle":"","parse-names":false,"suffix":""}],"container-title":"EMBnet. journal","id":"ITEM-1","issue":"1","issued":{"date-parts":[["2011"]]},"page":"10-12","title":"Cutadapt removes adapter sequences from high-throughput sequencing reads","type":"article-journal","volume":"17"},"uris":["http://www.mendeley.com/documents/?uuid=7054d632-21b2-4f40-9da9-82f18b7c43cb"]}],"mendeley":{"formattedCitation":"(Martin, 2011)","plainTextFormattedCitation":"(Martin, 2011)","previouslyFormattedCitation":"(Martin, 2011)"},"properties":{"noteIndex":0},"schema":"https://github.com/citation-style-language/schema/raw/master/csl-citation.json"}</w:instrText>
      </w:r>
      <w:r>
        <w:rPr>
          <w:rFonts w:cs="Times New Roman"/>
          <w:szCs w:val="24"/>
          <w:lang w:val="en-GB"/>
        </w:rPr>
        <w:fldChar w:fldCharType="separate"/>
      </w:r>
      <w:r w:rsidR="006E7F3F" w:rsidRPr="006E7F3F">
        <w:rPr>
          <w:rFonts w:cs="Times New Roman"/>
          <w:noProof/>
          <w:szCs w:val="24"/>
          <w:lang w:val="en-GB"/>
        </w:rPr>
        <w:t>(Martin, 2011)</w:t>
      </w:r>
      <w:r>
        <w:rPr>
          <w:rFonts w:cs="Times New Roman"/>
          <w:szCs w:val="24"/>
          <w:lang w:val="en-GB"/>
        </w:rPr>
        <w:fldChar w:fldCharType="end"/>
      </w:r>
      <w:r>
        <w:rPr>
          <w:rFonts w:eastAsia="Times New Roman" w:cs="Times New Roman"/>
          <w:szCs w:val="24"/>
          <w:lang w:val="en-GB"/>
        </w:rPr>
        <w:t xml:space="preserve">, paired reads merged using </w:t>
      </w:r>
      <w:proofErr w:type="spellStart"/>
      <w:r>
        <w:rPr>
          <w:rFonts w:eastAsia="Times New Roman" w:cs="Times New Roman"/>
          <w:i/>
          <w:iCs/>
          <w:szCs w:val="24"/>
          <w:lang w:val="en-GB"/>
        </w:rPr>
        <w:t>ea</w:t>
      </w:r>
      <w:proofErr w:type="spellEnd"/>
      <w:r>
        <w:rPr>
          <w:rFonts w:eastAsia="Times New Roman" w:cs="Times New Roman"/>
          <w:i/>
          <w:iCs/>
          <w:szCs w:val="24"/>
          <w:lang w:val="en-GB"/>
        </w:rPr>
        <w:t xml:space="preserve">-utils </w:t>
      </w:r>
      <w:r>
        <w:rPr>
          <w:rFonts w:cs="Times New Roman"/>
          <w:szCs w:val="24"/>
          <w:lang w:val="en-GB"/>
        </w:rPr>
        <w:t xml:space="preserve">(v1.1.2.537) </w:t>
      </w:r>
      <w:r>
        <w:rPr>
          <w:rFonts w:cs="Times New Roman"/>
          <w:szCs w:val="24"/>
          <w:lang w:val="en-GB"/>
        </w:rPr>
        <w:fldChar w:fldCharType="begin" w:fldLock="1"/>
      </w:r>
      <w:r w:rsidR="00AF7E98">
        <w:rPr>
          <w:rFonts w:cs="Times New Roman"/>
          <w:szCs w:val="24"/>
          <w:lang w:val="en-GB"/>
        </w:rPr>
        <w:instrText>ADDIN CSL_CITATION {"citationItems":[{"id":"ITEM-1","itemData":{"author":[{"dropping-particle":"","family":"Aronesty","given":"Erik","non-dropping-particle":"","parse-names":false,"suffix":""}],"container-title":"The open bioinformatics journal","id":"ITEM-1","issue":"1","issued":{"date-parts":[["2013"]]},"title":"Comparison of sequencing utility programs","type":"article-journal","volume":"7"},"uris":["http://www.mendeley.com/documents/?uuid=657fc10e-35a2-4651-9e62-a467848a61ef"]}],"mendeley":{"formattedCitation":"(Aronesty, 2013)","plainTextFormattedCitation":"(Aronesty, 2013)","previouslyFormattedCitation":"(Aronesty, 2013)"},"properties":{"noteIndex":0},"schema":"https://github.com/citation-style-language/schema/raw/master/csl-citation.json"}</w:instrText>
      </w:r>
      <w:r>
        <w:rPr>
          <w:rFonts w:cs="Times New Roman"/>
          <w:szCs w:val="24"/>
          <w:lang w:val="en-GB"/>
        </w:rPr>
        <w:fldChar w:fldCharType="separate"/>
      </w:r>
      <w:r w:rsidR="006E7F3F" w:rsidRPr="006E7F3F">
        <w:rPr>
          <w:rFonts w:cs="Times New Roman"/>
          <w:noProof/>
          <w:szCs w:val="24"/>
          <w:lang w:val="en-GB"/>
        </w:rPr>
        <w:t>(Aronesty, 2013)</w:t>
      </w:r>
      <w:r>
        <w:rPr>
          <w:rFonts w:cs="Times New Roman"/>
          <w:szCs w:val="24"/>
          <w:lang w:val="en-GB"/>
        </w:rPr>
        <w:fldChar w:fldCharType="end"/>
      </w:r>
      <w:r>
        <w:rPr>
          <w:rFonts w:cs="Times New Roman"/>
          <w:szCs w:val="24"/>
          <w:lang w:val="en-GB"/>
        </w:rPr>
        <w:t xml:space="preserve">, merged reads and forward unmerged </w:t>
      </w:r>
      <w:proofErr w:type="spellStart"/>
      <w:r>
        <w:rPr>
          <w:rFonts w:cs="Times New Roman"/>
          <w:i/>
          <w:iCs/>
          <w:szCs w:val="24"/>
          <w:lang w:val="en-GB"/>
        </w:rPr>
        <w:t>fastq</w:t>
      </w:r>
      <w:proofErr w:type="spellEnd"/>
      <w:r>
        <w:rPr>
          <w:rFonts w:cs="Times New Roman"/>
          <w:szCs w:val="24"/>
          <w:lang w:val="en-GB"/>
        </w:rPr>
        <w:t xml:space="preserve"> files concatenated, and reads with a Q-score below 20 removed using </w:t>
      </w:r>
      <w:proofErr w:type="spellStart"/>
      <w:r>
        <w:rPr>
          <w:rFonts w:cs="Times New Roman"/>
          <w:i/>
          <w:iCs/>
          <w:szCs w:val="24"/>
          <w:lang w:val="en-GB"/>
        </w:rPr>
        <w:t>BBMap</w:t>
      </w:r>
      <w:proofErr w:type="spellEnd"/>
      <w:r>
        <w:rPr>
          <w:rFonts w:cs="Times New Roman"/>
          <w:szCs w:val="24"/>
          <w:lang w:val="en-GB"/>
        </w:rPr>
        <w:t>.</w:t>
      </w:r>
    </w:p>
    <w:p w14:paraId="56FD7018" w14:textId="252623D6" w:rsidR="009D4340" w:rsidRDefault="00E3236C" w:rsidP="009D4340">
      <w:pPr>
        <w:pStyle w:val="Heading2"/>
        <w:rPr>
          <w:lang w:val="en-GB"/>
        </w:rPr>
      </w:pPr>
      <w:r>
        <w:rPr>
          <w:lang w:val="en-GB"/>
        </w:rPr>
        <w:lastRenderedPageBreak/>
        <w:t xml:space="preserve">Taxonomic </w:t>
      </w:r>
      <w:r w:rsidR="009D4340">
        <w:rPr>
          <w:lang w:val="en-GB"/>
        </w:rPr>
        <w:t>classification</w:t>
      </w:r>
    </w:p>
    <w:p w14:paraId="14D2D2DB" w14:textId="06201CF2" w:rsidR="00374042" w:rsidRDefault="00374042" w:rsidP="00374042">
      <w:pPr>
        <w:spacing w:line="480" w:lineRule="auto"/>
        <w:rPr>
          <w:rFonts w:cs="Times New Roman"/>
          <w:szCs w:val="24"/>
          <w:lang w:val="en-GB"/>
        </w:rPr>
      </w:pPr>
      <w:r>
        <w:rPr>
          <w:rFonts w:cs="Times New Roman"/>
          <w:szCs w:val="24"/>
          <w:lang w:val="en-GB"/>
        </w:rPr>
        <w:t xml:space="preserve">Taxonomic classification of all shotgun sequencing data was performed using </w:t>
      </w:r>
      <w:r>
        <w:rPr>
          <w:rFonts w:cs="Times New Roman"/>
          <w:i/>
          <w:iCs/>
          <w:szCs w:val="24"/>
          <w:lang w:val="en-GB"/>
        </w:rPr>
        <w:t xml:space="preserve">Kraken 2 </w:t>
      </w:r>
      <w:r>
        <w:rPr>
          <w:rFonts w:cs="Times New Roman"/>
          <w:szCs w:val="24"/>
          <w:lang w:val="en-GB"/>
        </w:rPr>
        <w:t xml:space="preserve">(v2.0.9-beta; default parameters) </w:t>
      </w:r>
      <w:bookmarkStart w:id="1" w:name="__Fieldmark__33_3520335750"/>
      <w:bookmarkStart w:id="2" w:name="__Fieldmark__69_3581134862"/>
      <w:r>
        <w:fldChar w:fldCharType="begin" w:fldLock="1"/>
      </w:r>
      <w:r w:rsidR="00AF7E98">
        <w:rPr>
          <w:rFonts w:cs="Times New Roman"/>
          <w:szCs w:val="24"/>
          <w:lang w:val="en-GB"/>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fldChar w:fldCharType="separate"/>
      </w:r>
      <w:r w:rsidR="006E7F3F" w:rsidRPr="006E7F3F">
        <w:rPr>
          <w:rFonts w:cs="Times New Roman"/>
          <w:noProof/>
          <w:szCs w:val="24"/>
          <w:lang w:val="en-GB"/>
        </w:rPr>
        <w:t>(Wood, Lu and Langmead, 2019)</w:t>
      </w:r>
      <w:r>
        <w:fldChar w:fldCharType="end"/>
      </w:r>
      <w:r>
        <w:rPr>
          <w:rFonts w:cs="Times New Roman"/>
          <w:szCs w:val="24"/>
          <w:lang w:val="en-GB"/>
        </w:rPr>
        <w:t>⁠</w:t>
      </w:r>
      <w:bookmarkEnd w:id="1"/>
      <w:bookmarkEnd w:id="2"/>
      <w:r>
        <w:rPr>
          <w:rFonts w:cs="Times New Roman"/>
          <w:szCs w:val="24"/>
          <w:lang w:val="en-GB"/>
        </w:rPr>
        <w:t xml:space="preserve"> with the </w:t>
      </w:r>
      <w:r>
        <w:rPr>
          <w:rFonts w:cs="Times New Roman"/>
          <w:i/>
          <w:iCs/>
          <w:szCs w:val="24"/>
          <w:lang w:val="en-GB"/>
        </w:rPr>
        <w:t>maxikraken2_1903_140GB</w:t>
      </w:r>
      <w:r>
        <w:rPr>
          <w:rFonts w:cs="Times New Roman"/>
          <w:szCs w:val="24"/>
          <w:lang w:val="en-GB"/>
        </w:rPr>
        <w:t xml:space="preserve"> database (</w:t>
      </w:r>
      <w:hyperlink r:id="rId12" w:history="1">
        <w:r>
          <w:rPr>
            <w:rStyle w:val="Hyperlink"/>
            <w:rFonts w:cs="Times New Roman"/>
            <w:szCs w:val="24"/>
            <w:lang w:val="en-GB"/>
          </w:rPr>
          <w:t>https://tinyurl.com/y7zfg9kr</w:t>
        </w:r>
      </w:hyperlink>
      <w:r>
        <w:rPr>
          <w:rFonts w:cs="Times New Roman"/>
          <w:szCs w:val="24"/>
          <w:lang w:val="en-GB"/>
        </w:rPr>
        <w:t>). To mitigate potential misclassification of closely related species (</w:t>
      </w:r>
      <w:proofErr w:type="gramStart"/>
      <w:r>
        <w:rPr>
          <w:rFonts w:cs="Times New Roman"/>
          <w:i/>
          <w:iCs/>
          <w:szCs w:val="24"/>
          <w:lang w:val="en-GB"/>
        </w:rPr>
        <w:t>e.g.</w:t>
      </w:r>
      <w:proofErr w:type="gramEnd"/>
      <w:r>
        <w:rPr>
          <w:rFonts w:cs="Times New Roman"/>
          <w:szCs w:val="24"/>
          <w:lang w:val="en-GB"/>
        </w:rPr>
        <w:t xml:space="preserve"> </w:t>
      </w:r>
      <w:r>
        <w:rPr>
          <w:rFonts w:cs="Times New Roman"/>
          <w:i/>
          <w:iCs/>
          <w:szCs w:val="24"/>
          <w:lang w:val="en-GB"/>
        </w:rPr>
        <w:t>E. coli</w:t>
      </w:r>
      <w:r>
        <w:rPr>
          <w:rFonts w:cs="Times New Roman"/>
          <w:szCs w:val="24"/>
          <w:lang w:val="en-GB"/>
        </w:rPr>
        <w:t xml:space="preserve"> and </w:t>
      </w:r>
      <w:r>
        <w:rPr>
          <w:rFonts w:cs="Times New Roman"/>
          <w:i/>
          <w:iCs/>
          <w:szCs w:val="24"/>
          <w:lang w:val="en-GB"/>
        </w:rPr>
        <w:t>Shigella spp.)</w:t>
      </w:r>
      <w:r>
        <w:rPr>
          <w:rFonts w:cs="Times New Roman"/>
          <w:szCs w:val="24"/>
          <w:lang w:val="en-GB"/>
        </w:rPr>
        <w:t xml:space="preserve"> during taxonomic assignment, we considered only microbial abundance at the genus rank for downstream analyses. For the Gosiewski-17 dataset, </w:t>
      </w:r>
      <w:r>
        <w:rPr>
          <w:rFonts w:cs="Times New Roman"/>
          <w:i/>
          <w:iCs/>
          <w:szCs w:val="24"/>
          <w:lang w:val="en-GB"/>
        </w:rPr>
        <w:t xml:space="preserve">Kraken 2 </w:t>
      </w:r>
      <w:r>
        <w:rPr>
          <w:rFonts w:cs="Times New Roman"/>
          <w:szCs w:val="24"/>
          <w:lang w:val="en-GB"/>
        </w:rPr>
        <w:t xml:space="preserve">with a </w:t>
      </w:r>
      <w:r>
        <w:rPr>
          <w:rFonts w:cs="Times New Roman"/>
          <w:i/>
          <w:iCs/>
          <w:szCs w:val="24"/>
          <w:lang w:val="en-GB"/>
        </w:rPr>
        <w:t>Kraken 2</w:t>
      </w:r>
      <w:r>
        <w:rPr>
          <w:rFonts w:cs="Times New Roman"/>
          <w:szCs w:val="24"/>
          <w:lang w:val="en-GB"/>
        </w:rPr>
        <w:t xml:space="preserve">-built </w:t>
      </w:r>
      <w:r>
        <w:rPr>
          <w:rFonts w:cs="Times New Roman"/>
          <w:i/>
          <w:iCs/>
          <w:szCs w:val="24"/>
          <w:lang w:val="en-GB"/>
        </w:rPr>
        <w:t>Silva</w:t>
      </w:r>
      <w:r>
        <w:rPr>
          <w:rFonts w:cs="Times New Roman"/>
          <w:szCs w:val="24"/>
          <w:lang w:val="en-GB"/>
        </w:rPr>
        <w:t xml:space="preserve"> database was used instead of conventional 16S amplicon metagenomic classification methods </w:t>
      </w:r>
      <w:r>
        <w:rPr>
          <w:rFonts w:cs="Times New Roman"/>
          <w:szCs w:val="24"/>
          <w:lang w:val="en-GB"/>
        </w:rPr>
        <w:fldChar w:fldCharType="begin" w:fldLock="1"/>
      </w:r>
      <w:r w:rsidR="00AF7E98">
        <w:rPr>
          <w:rFonts w:cs="Times New Roman"/>
          <w:szCs w:val="24"/>
          <w:lang w:val="en-GB"/>
        </w:rPr>
        <w:instrText>ADDIN CSL_CITATION {"citationItems":[{"id":"ITEM-1","itemData":{"author":[{"dropping-particle":"","family":"Lu","given":"Jennifer","non-dropping-particle":"","parse-names":false,"suffix":""},{"dropping-particle":"","family":"Salzberg","given":"Steven","non-dropping-particle":"","parse-names":false,"suffix":""}],"container-title":"bioRxiv","id":"ITEM-1","issued":{"date-parts":[["2020"]]},"publisher":"Cold Spring Harbor Laboratory","title":"Ultrafast and accurate 16S microbial community analysis using Kraken 2","type":"article-journal"},"uris":["http://www.mendeley.com/documents/?uuid=44ced7c2-bed8-4fab-ac7c-07e2bd40b1eb"]}],"mendeley":{"formattedCitation":"(Lu and Salzberg, 2020)","plainTextFormattedCitation":"(Lu and Salzberg, 2020)","previouslyFormattedCitation":"(Lu and Salzberg, 2020)"},"properties":{"noteIndex":0},"schema":"https://github.com/citation-style-language/schema/raw/master/csl-citation.json"}</w:instrText>
      </w:r>
      <w:r>
        <w:rPr>
          <w:rFonts w:cs="Times New Roman"/>
          <w:szCs w:val="24"/>
          <w:lang w:val="en-GB"/>
        </w:rPr>
        <w:fldChar w:fldCharType="separate"/>
      </w:r>
      <w:r w:rsidR="006E7F3F" w:rsidRPr="006E7F3F">
        <w:rPr>
          <w:rFonts w:cs="Times New Roman"/>
          <w:noProof/>
          <w:szCs w:val="24"/>
          <w:lang w:val="en-GB"/>
        </w:rPr>
        <w:t>(Lu and Salzberg, 2020)</w:t>
      </w:r>
      <w:r>
        <w:rPr>
          <w:rFonts w:cs="Times New Roman"/>
          <w:szCs w:val="24"/>
          <w:lang w:val="en-GB"/>
        </w:rPr>
        <w:fldChar w:fldCharType="end"/>
      </w:r>
      <w:r>
        <w:rPr>
          <w:rFonts w:cs="Times New Roman"/>
          <w:szCs w:val="24"/>
          <w:lang w:val="en-GB"/>
        </w:rPr>
        <w:t xml:space="preserve">. Read assignments for all ‘culture-confirmed’ bacterial pathogens using the </w:t>
      </w:r>
      <w:r>
        <w:rPr>
          <w:rFonts w:cs="Times New Roman"/>
          <w:i/>
          <w:iCs/>
          <w:szCs w:val="24"/>
          <w:lang w:val="en-GB"/>
        </w:rPr>
        <w:t>maxikraken2_1903_140GB</w:t>
      </w:r>
      <w:r>
        <w:rPr>
          <w:rFonts w:cs="Times New Roman"/>
          <w:szCs w:val="24"/>
          <w:lang w:val="en-GB"/>
        </w:rPr>
        <w:t xml:space="preserve"> and </w:t>
      </w:r>
      <w:r>
        <w:rPr>
          <w:rFonts w:cs="Times New Roman"/>
          <w:i/>
          <w:iCs/>
          <w:szCs w:val="24"/>
          <w:lang w:val="en-GB"/>
        </w:rPr>
        <w:t>Kraken 2</w:t>
      </w:r>
      <w:r>
        <w:rPr>
          <w:rFonts w:cs="Times New Roman"/>
          <w:szCs w:val="24"/>
          <w:lang w:val="en-GB"/>
        </w:rPr>
        <w:t xml:space="preserve">-built </w:t>
      </w:r>
      <w:r>
        <w:rPr>
          <w:rFonts w:cs="Times New Roman"/>
          <w:i/>
          <w:iCs/>
          <w:szCs w:val="24"/>
          <w:lang w:val="en-GB"/>
        </w:rPr>
        <w:t>Silva</w:t>
      </w:r>
      <w:r>
        <w:rPr>
          <w:rFonts w:cs="Times New Roman"/>
          <w:szCs w:val="24"/>
          <w:lang w:val="en-GB"/>
        </w:rPr>
        <w:t xml:space="preserve"> databases are shown in Fig. S2. While the relative number of reads assigned to each bacterial genus showed some inconsistencies, this hardly affected the classifier performance of septic and healthy patients (Fig. S3). This suggests that our model is </w:t>
      </w:r>
      <w:proofErr w:type="gramStart"/>
      <w:r>
        <w:rPr>
          <w:rFonts w:cs="Times New Roman"/>
          <w:szCs w:val="24"/>
          <w:lang w:val="en-GB"/>
        </w:rPr>
        <w:t>fairly robust</w:t>
      </w:r>
      <w:proofErr w:type="gramEnd"/>
      <w:r>
        <w:rPr>
          <w:rFonts w:cs="Times New Roman"/>
          <w:szCs w:val="24"/>
          <w:lang w:val="en-GB"/>
        </w:rPr>
        <w:t xml:space="preserve"> to heterogeneity which may be introduced by the classification step. For downstream analyses, we use the genera assignments based on the </w:t>
      </w:r>
      <w:r>
        <w:rPr>
          <w:rFonts w:cs="Times New Roman"/>
          <w:i/>
          <w:iCs/>
          <w:szCs w:val="24"/>
          <w:lang w:val="en-GB"/>
        </w:rPr>
        <w:t>Kraken</w:t>
      </w:r>
      <w:r>
        <w:rPr>
          <w:rFonts w:cs="Times New Roman"/>
          <w:szCs w:val="24"/>
          <w:lang w:val="en-GB"/>
        </w:rPr>
        <w:t xml:space="preserve"> </w:t>
      </w:r>
      <w:r>
        <w:rPr>
          <w:rFonts w:cs="Times New Roman"/>
          <w:i/>
          <w:iCs/>
          <w:szCs w:val="24"/>
          <w:lang w:val="en-GB"/>
        </w:rPr>
        <w:t>2</w:t>
      </w:r>
      <w:r>
        <w:rPr>
          <w:rFonts w:cs="Times New Roman"/>
          <w:szCs w:val="24"/>
          <w:lang w:val="en-GB"/>
        </w:rPr>
        <w:t xml:space="preserve">-built </w:t>
      </w:r>
      <w:r>
        <w:rPr>
          <w:rFonts w:cs="Times New Roman"/>
          <w:i/>
          <w:iCs/>
          <w:szCs w:val="24"/>
          <w:lang w:val="en-GB"/>
        </w:rPr>
        <w:t>Silva</w:t>
      </w:r>
      <w:r>
        <w:rPr>
          <w:rFonts w:cs="Times New Roman"/>
          <w:szCs w:val="24"/>
          <w:lang w:val="en-GB"/>
        </w:rPr>
        <w:t xml:space="preserve"> database for the 16S Gosiewski-17 samples. Additionally, all unclassified reads were excluded from the analyses. The feature space obtained directly from </w:t>
      </w:r>
      <w:r>
        <w:rPr>
          <w:rFonts w:cs="Times New Roman"/>
          <w:i/>
          <w:iCs/>
          <w:szCs w:val="24"/>
          <w:lang w:val="en-GB"/>
        </w:rPr>
        <w:t xml:space="preserve">Kraken 2 </w:t>
      </w:r>
      <w:r>
        <w:rPr>
          <w:rFonts w:cs="Times New Roman"/>
          <w:szCs w:val="24"/>
          <w:lang w:val="en-GB"/>
        </w:rPr>
        <w:t>taxonomic assignment</w:t>
      </w:r>
      <w:r>
        <w:rPr>
          <w:rFonts w:cs="Times New Roman"/>
          <w:i/>
          <w:iCs/>
          <w:szCs w:val="24"/>
          <w:lang w:val="en-GB"/>
        </w:rPr>
        <w:t xml:space="preserve"> </w:t>
      </w:r>
      <w:r>
        <w:rPr>
          <w:rFonts w:cs="Times New Roman"/>
          <w:szCs w:val="24"/>
          <w:lang w:val="en-GB"/>
        </w:rPr>
        <w:t xml:space="preserve">is denoted by </w:t>
      </w:r>
      <w:r>
        <w:rPr>
          <w:rFonts w:cs="Times New Roman"/>
          <w:i/>
          <w:iCs/>
          <w:szCs w:val="24"/>
          <w:lang w:val="en-GB"/>
        </w:rPr>
        <w:t>Neat</w:t>
      </w:r>
      <w:r>
        <w:rPr>
          <w:rFonts w:cs="Times New Roman"/>
          <w:szCs w:val="24"/>
          <w:lang w:val="en-GB"/>
        </w:rPr>
        <w:t>.</w:t>
      </w:r>
    </w:p>
    <w:p w14:paraId="76EFCDC2" w14:textId="191B77D9" w:rsidR="00374042" w:rsidRDefault="00374042" w:rsidP="00374042">
      <w:pPr>
        <w:spacing w:line="480" w:lineRule="auto"/>
        <w:rPr>
          <w:rFonts w:cs="Times New Roman"/>
          <w:szCs w:val="24"/>
          <w:lang w:val="en-GB"/>
        </w:rPr>
      </w:pPr>
      <w:r>
        <w:rPr>
          <w:rFonts w:cs="Times New Roman"/>
          <w:szCs w:val="24"/>
          <w:lang w:val="en-GB"/>
        </w:rPr>
        <w:t xml:space="preserve">Unexpectedly, for the Karius dataset, some reads were assigned to the genus </w:t>
      </w:r>
      <w:r>
        <w:rPr>
          <w:rFonts w:cs="Times New Roman"/>
          <w:i/>
          <w:iCs/>
          <w:szCs w:val="24"/>
          <w:lang w:val="en-GB"/>
        </w:rPr>
        <w:t>Homo</w:t>
      </w:r>
      <w:r>
        <w:rPr>
          <w:rFonts w:cs="Times New Roman"/>
          <w:szCs w:val="24"/>
          <w:lang w:val="en-GB"/>
        </w:rPr>
        <w:t xml:space="preserve"> which was possibly due to misclassification. Mapping of all reads in the Karius sequencing data found just 873 bases with 96% identity to the masked human reference, with an average of 0.3 reads per sample (range: 0-7 reads). Since human reads were already removed in the bioinformatic workflow of the Karius study, we did not perform an additional human read removal step to avoid introducing biases into the data.</w:t>
      </w:r>
    </w:p>
    <w:p w14:paraId="4DD1830B" w14:textId="32E2EC21" w:rsidR="009A1D09" w:rsidRDefault="009A1D09" w:rsidP="00E1731F">
      <w:pPr>
        <w:pStyle w:val="Heading2"/>
        <w:rPr>
          <w:lang w:val="en-GB"/>
        </w:rPr>
      </w:pPr>
      <w:r>
        <w:rPr>
          <w:lang w:val="en-GB"/>
        </w:rPr>
        <w:lastRenderedPageBreak/>
        <w:t>Microbial diversity</w:t>
      </w:r>
    </w:p>
    <w:p w14:paraId="4B9F12EE" w14:textId="7E794EDF" w:rsidR="009A1D09" w:rsidRDefault="009A1D09" w:rsidP="00E1731F">
      <w:pPr>
        <w:pStyle w:val="Heading2"/>
        <w:rPr>
          <w:lang w:val="en-GB"/>
        </w:rPr>
      </w:pPr>
      <w:r>
        <w:rPr>
          <w:lang w:val="en-GB"/>
        </w:rPr>
        <w:t>Ordination and clustering</w:t>
      </w:r>
      <w:r w:rsidR="003E7870">
        <w:rPr>
          <w:lang w:val="en-GB"/>
        </w:rPr>
        <w:t xml:space="preserve"> n</w:t>
      </w:r>
    </w:p>
    <w:p w14:paraId="67265928" w14:textId="3E714DCE" w:rsidR="009A1D09" w:rsidRDefault="009A1D09" w:rsidP="009A1D09">
      <w:pPr>
        <w:pStyle w:val="Heading2"/>
        <w:rPr>
          <w:lang w:val="en-GB"/>
        </w:rPr>
      </w:pPr>
      <w:r>
        <w:rPr>
          <w:lang w:val="en-GB"/>
        </w:rPr>
        <w:t>Relative differential abundance</w:t>
      </w:r>
    </w:p>
    <w:p w14:paraId="16BC0FE7" w14:textId="77777777" w:rsidR="009A1D09" w:rsidRDefault="009A1D09" w:rsidP="00374042">
      <w:pPr>
        <w:spacing w:line="480" w:lineRule="auto"/>
        <w:rPr>
          <w:rFonts w:cs="Times New Roman"/>
          <w:szCs w:val="24"/>
          <w:lang w:val="en-GB"/>
        </w:rPr>
      </w:pPr>
    </w:p>
    <w:p w14:paraId="6610C566" w14:textId="77777777" w:rsidR="004E4E03" w:rsidRDefault="004E4E03" w:rsidP="004E4E03">
      <w:pPr>
        <w:pStyle w:val="Heading1"/>
      </w:pPr>
      <w:r>
        <w:t>Data and code availability</w:t>
      </w:r>
    </w:p>
    <w:p w14:paraId="331713DC" w14:textId="73D539D1" w:rsidR="00F6417A" w:rsidRPr="0057174B" w:rsidRDefault="004E4E03" w:rsidP="0057174B">
      <w:pPr>
        <w:spacing w:after="0" w:line="480" w:lineRule="auto"/>
        <w:rPr>
          <w:rFonts w:cs="Times New Roman"/>
          <w:szCs w:val="28"/>
          <w:lang w:val="en-GB"/>
        </w:rPr>
      </w:pPr>
      <w:r>
        <w:rPr>
          <w:rFonts w:cs="Times New Roman"/>
          <w:szCs w:val="28"/>
          <w:lang w:val="en-GB"/>
        </w:rPr>
        <w:t>All relevant source code and parsed datasets used can be found on GitHub (</w:t>
      </w:r>
      <w:hyperlink r:id="rId13" w:history="1">
        <w:r>
          <w:rPr>
            <w:rStyle w:val="Hyperlink"/>
            <w:rFonts w:cs="Times New Roman"/>
            <w:szCs w:val="28"/>
            <w:lang w:val="en-GB"/>
          </w:rPr>
          <w:t>https://github.com/cednotsed/Polymicrobial-Signature-of-Sepsis</w:t>
        </w:r>
      </w:hyperlink>
      <w:r>
        <w:rPr>
          <w:rFonts w:cs="Times New Roman"/>
          <w:szCs w:val="28"/>
          <w:lang w:val="en-GB"/>
        </w:rPr>
        <w:t xml:space="preserve">). The raw sequence data for </w:t>
      </w:r>
      <w:r w:rsidR="009D4340">
        <w:rPr>
          <w:rFonts w:cs="Times New Roman"/>
          <w:szCs w:val="28"/>
          <w:lang w:val="en-GB"/>
        </w:rPr>
        <w:t xml:space="preserve">this study was obtained from the study by </w:t>
      </w:r>
      <w:r w:rsidR="009D4340">
        <w:rPr>
          <w:rFonts w:cs="Times New Roman"/>
          <w:szCs w:val="28"/>
          <w:lang w:val="en-GB"/>
        </w:rPr>
        <w:fldChar w:fldCharType="begin" w:fldLock="1"/>
      </w:r>
      <w:r w:rsidR="009D4340">
        <w:rPr>
          <w:rFonts w:cs="Times New Roman"/>
          <w:szCs w:val="28"/>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DNAemia","type":"article-journal","volume":"36"},"uris":["http://www.mendeley.com/documents/?uuid=62f9084b-96ca-44d1-89bc-b8a31e5ed56d"]}],"mendeley":{"formattedCitation":"(Gosiewski &lt;i&gt;et al.&lt;/i&gt;, 2017)","manualFormatting":"Gosiewski et al. (2017)","plainTextFormattedCitation":"(Gosiewski et al., 2017)"},"properties":{"noteIndex":0},"schema":"https://github.com/citation-style-language/schema/raw/master/csl-citation.json"}</w:instrText>
      </w:r>
      <w:r w:rsidR="009D4340">
        <w:rPr>
          <w:rFonts w:cs="Times New Roman"/>
          <w:szCs w:val="28"/>
          <w:lang w:val="en-GB"/>
        </w:rPr>
        <w:fldChar w:fldCharType="separate"/>
      </w:r>
      <w:r w:rsidR="009D4340" w:rsidRPr="009D4340">
        <w:rPr>
          <w:rFonts w:cs="Times New Roman"/>
          <w:noProof/>
          <w:szCs w:val="28"/>
          <w:lang w:val="en-GB"/>
        </w:rPr>
        <w:t xml:space="preserve">Gosiewski </w:t>
      </w:r>
      <w:r w:rsidR="009D4340" w:rsidRPr="009D4340">
        <w:rPr>
          <w:rFonts w:cs="Times New Roman"/>
          <w:i/>
          <w:noProof/>
          <w:szCs w:val="28"/>
          <w:lang w:val="en-GB"/>
        </w:rPr>
        <w:t>et al.</w:t>
      </w:r>
      <w:r w:rsidR="009D4340" w:rsidRPr="009D4340">
        <w:rPr>
          <w:rFonts w:cs="Times New Roman"/>
          <w:noProof/>
          <w:szCs w:val="28"/>
          <w:lang w:val="en-GB"/>
        </w:rPr>
        <w:t xml:space="preserve"> </w:t>
      </w:r>
      <w:r w:rsidR="009D4340">
        <w:rPr>
          <w:rFonts w:cs="Times New Roman"/>
          <w:noProof/>
          <w:szCs w:val="28"/>
          <w:lang w:val="en-GB"/>
        </w:rPr>
        <w:t>(</w:t>
      </w:r>
      <w:r w:rsidR="009D4340" w:rsidRPr="009D4340">
        <w:rPr>
          <w:rFonts w:cs="Times New Roman"/>
          <w:noProof/>
          <w:szCs w:val="28"/>
          <w:lang w:val="en-GB"/>
        </w:rPr>
        <w:t>2017)</w:t>
      </w:r>
      <w:r w:rsidR="009D4340">
        <w:rPr>
          <w:rFonts w:cs="Times New Roman"/>
          <w:szCs w:val="28"/>
          <w:lang w:val="en-GB"/>
        </w:rPr>
        <w:fldChar w:fldCharType="end"/>
      </w:r>
      <w:r w:rsidR="009D4340">
        <w:rPr>
          <w:rFonts w:cs="Times New Roman"/>
          <w:szCs w:val="28"/>
          <w:lang w:val="en-GB"/>
        </w:rPr>
        <w:t>.</w:t>
      </w:r>
    </w:p>
    <w:p w14:paraId="02DEEA58" w14:textId="38551518" w:rsidR="00BC2AC9" w:rsidRDefault="00BC2AC9" w:rsidP="00BC2AC9">
      <w:pPr>
        <w:pStyle w:val="Heading1"/>
        <w:spacing w:line="240" w:lineRule="auto"/>
      </w:pPr>
      <w:r>
        <w:rPr>
          <w:lang w:val="en-GB"/>
        </w:rPr>
        <w:t>R</w:t>
      </w:r>
      <w:bookmarkStart w:id="3" w:name="__Fieldmark__578_3520335750"/>
      <w:bookmarkStart w:id="4" w:name="__Fieldmark__781_3581134862"/>
      <w:bookmarkEnd w:id="3"/>
      <w:bookmarkEnd w:id="4"/>
      <w:r>
        <w:rPr>
          <w:lang w:val="en-GB"/>
        </w:rPr>
        <w:t>eferences</w:t>
      </w:r>
    </w:p>
    <w:p w14:paraId="44FA3BBF" w14:textId="77777777" w:rsidR="00E066B1" w:rsidRDefault="00E066B1" w:rsidP="00F577DE">
      <w:pPr>
        <w:widowControl w:val="0"/>
        <w:autoSpaceDE w:val="0"/>
        <w:autoSpaceDN w:val="0"/>
        <w:adjustRightInd w:val="0"/>
        <w:spacing w:after="0" w:line="480" w:lineRule="auto"/>
        <w:rPr>
          <w:rFonts w:cs="Times New Roman"/>
          <w:szCs w:val="24"/>
        </w:rPr>
      </w:pPr>
    </w:p>
    <w:p w14:paraId="17497709" w14:textId="18DB08C5" w:rsidR="009D4340" w:rsidRPr="009D4340" w:rsidRDefault="00BC2AC9" w:rsidP="009D4340">
      <w:pPr>
        <w:widowControl w:val="0"/>
        <w:autoSpaceDE w:val="0"/>
        <w:autoSpaceDN w:val="0"/>
        <w:adjustRightInd w:val="0"/>
        <w:spacing w:after="0" w:line="480" w:lineRule="auto"/>
        <w:rPr>
          <w:rFonts w:cs="Times New Roman"/>
          <w:noProof/>
          <w:sz w:val="22"/>
          <w:szCs w:val="24"/>
        </w:rPr>
      </w:pPr>
      <w:r>
        <w:rPr>
          <w:rFonts w:cs="Times New Roman"/>
          <w:szCs w:val="24"/>
        </w:rPr>
        <w:fldChar w:fldCharType="begin" w:fldLock="1"/>
      </w:r>
      <w:r>
        <w:rPr>
          <w:rFonts w:cs="Times New Roman"/>
          <w:szCs w:val="24"/>
        </w:rPr>
        <w:instrText xml:space="preserve">ADDIN Mendeley Bibliography CSL_BIBLIOGRAPHY </w:instrText>
      </w:r>
      <w:r>
        <w:rPr>
          <w:rFonts w:cs="Times New Roman"/>
          <w:szCs w:val="24"/>
        </w:rPr>
        <w:fldChar w:fldCharType="separate"/>
      </w:r>
      <w:r w:rsidR="009D4340" w:rsidRPr="009D4340">
        <w:rPr>
          <w:rFonts w:cs="Times New Roman"/>
          <w:noProof/>
          <w:sz w:val="22"/>
          <w:szCs w:val="24"/>
        </w:rPr>
        <w:t xml:space="preserve">Aronesty, E. (2013) ‘Comparison of sequencing utility programs’, </w:t>
      </w:r>
      <w:r w:rsidR="009D4340" w:rsidRPr="009D4340">
        <w:rPr>
          <w:rFonts w:cs="Times New Roman"/>
          <w:i/>
          <w:iCs/>
          <w:noProof/>
          <w:sz w:val="22"/>
          <w:szCs w:val="24"/>
        </w:rPr>
        <w:t>The open bioinformatics journal</w:t>
      </w:r>
      <w:r w:rsidR="009D4340" w:rsidRPr="009D4340">
        <w:rPr>
          <w:rFonts w:cs="Times New Roman"/>
          <w:noProof/>
          <w:sz w:val="22"/>
          <w:szCs w:val="24"/>
        </w:rPr>
        <w:t>, 7(1).</w:t>
      </w:r>
    </w:p>
    <w:p w14:paraId="78684C17"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Benjamin, R. J. and Wagner, S. J. (2007) ‘The residual risk of sepsis: modeling the effect of concentration on bacterial detection in two‐bottle culture systems and an estimation of false‐negative culture rates’, </w:t>
      </w:r>
      <w:r w:rsidRPr="009D4340">
        <w:rPr>
          <w:rFonts w:cs="Times New Roman"/>
          <w:i/>
          <w:iCs/>
          <w:noProof/>
          <w:sz w:val="22"/>
          <w:szCs w:val="24"/>
        </w:rPr>
        <w:t>Transfusion</w:t>
      </w:r>
      <w:r w:rsidRPr="009D4340">
        <w:rPr>
          <w:rFonts w:cs="Times New Roman"/>
          <w:noProof/>
          <w:sz w:val="22"/>
          <w:szCs w:val="24"/>
        </w:rPr>
        <w:t>. Wiley Online Library, 47(8), pp. 1381–1389.</w:t>
      </w:r>
    </w:p>
    <w:p w14:paraId="543BF48F"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Bharucha, T. </w:t>
      </w:r>
      <w:r w:rsidRPr="009D4340">
        <w:rPr>
          <w:rFonts w:cs="Times New Roman"/>
          <w:i/>
          <w:iCs/>
          <w:noProof/>
          <w:sz w:val="22"/>
          <w:szCs w:val="24"/>
        </w:rPr>
        <w:t>et al.</w:t>
      </w:r>
      <w:r w:rsidRPr="009D4340">
        <w:rPr>
          <w:rFonts w:cs="Times New Roman"/>
          <w:noProof/>
          <w:sz w:val="22"/>
          <w:szCs w:val="24"/>
        </w:rPr>
        <w:t xml:space="preserve"> (2020) ‘STROBE-metagenomics: a STROBE extension statement to guide the reporting of metagenomics studies’, </w:t>
      </w:r>
      <w:r w:rsidRPr="009D4340">
        <w:rPr>
          <w:rFonts w:cs="Times New Roman"/>
          <w:i/>
          <w:iCs/>
          <w:noProof/>
          <w:sz w:val="22"/>
          <w:szCs w:val="24"/>
        </w:rPr>
        <w:t>The Lancet Infectious Diseases</w:t>
      </w:r>
      <w:r w:rsidRPr="009D4340">
        <w:rPr>
          <w:rFonts w:cs="Times New Roman"/>
          <w:noProof/>
          <w:sz w:val="22"/>
          <w:szCs w:val="24"/>
        </w:rPr>
        <w:t>. Elsevier.</w:t>
      </w:r>
    </w:p>
    <w:p w14:paraId="1B21E280"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Blauwkamp, T. A. </w:t>
      </w:r>
      <w:r w:rsidRPr="009D4340">
        <w:rPr>
          <w:rFonts w:cs="Times New Roman"/>
          <w:i/>
          <w:iCs/>
          <w:noProof/>
          <w:sz w:val="22"/>
          <w:szCs w:val="24"/>
        </w:rPr>
        <w:t>et al.</w:t>
      </w:r>
      <w:r w:rsidRPr="009D4340">
        <w:rPr>
          <w:rFonts w:cs="Times New Roman"/>
          <w:noProof/>
          <w:sz w:val="22"/>
          <w:szCs w:val="24"/>
        </w:rPr>
        <w:t xml:space="preserve"> (2019) ‘Analytical and clinical validation of a microbial cell-free DNA sequencing test for infectious disease’, </w:t>
      </w:r>
      <w:r w:rsidRPr="009D4340">
        <w:rPr>
          <w:rFonts w:cs="Times New Roman"/>
          <w:i/>
          <w:iCs/>
          <w:noProof/>
          <w:sz w:val="22"/>
          <w:szCs w:val="24"/>
        </w:rPr>
        <w:t>Nature Microbiology</w:t>
      </w:r>
      <w:r w:rsidRPr="009D4340">
        <w:rPr>
          <w:rFonts w:cs="Times New Roman"/>
          <w:noProof/>
          <w:sz w:val="22"/>
          <w:szCs w:val="24"/>
        </w:rPr>
        <w:t>, 4(4), pp. 663–674. doi: 10.1038/s41564-018-0349-6.</w:t>
      </w:r>
    </w:p>
    <w:p w14:paraId="7DFB0616"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Bolger, A. M., Lohse, M. and Usadel, B. (2014) ‘Trimmomatic: a flexible trimmer for Illumina sequence data’, </w:t>
      </w:r>
      <w:r w:rsidRPr="009D4340">
        <w:rPr>
          <w:rFonts w:cs="Times New Roman"/>
          <w:i/>
          <w:iCs/>
          <w:noProof/>
          <w:sz w:val="22"/>
          <w:szCs w:val="24"/>
        </w:rPr>
        <w:t>Bioinformatics</w:t>
      </w:r>
      <w:r w:rsidRPr="009D4340">
        <w:rPr>
          <w:rFonts w:cs="Times New Roman"/>
          <w:noProof/>
          <w:sz w:val="22"/>
          <w:szCs w:val="24"/>
        </w:rPr>
        <w:t>. Oxford University Press, 30(15), pp. 2114–2120.</w:t>
      </w:r>
    </w:p>
    <w:p w14:paraId="22258609"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Brenner, T. </w:t>
      </w:r>
      <w:r w:rsidRPr="009D4340">
        <w:rPr>
          <w:rFonts w:cs="Times New Roman"/>
          <w:i/>
          <w:iCs/>
          <w:noProof/>
          <w:sz w:val="22"/>
          <w:szCs w:val="24"/>
        </w:rPr>
        <w:t>et al.</w:t>
      </w:r>
      <w:r w:rsidRPr="009D4340">
        <w:rPr>
          <w:rFonts w:cs="Times New Roman"/>
          <w:noProof/>
          <w:sz w:val="22"/>
          <w:szCs w:val="24"/>
        </w:rPr>
        <w:t xml:space="preserve"> (2018) ‘Next-generation sequencing diagnostics of bacteremia in sepsis (Next GeneSiS-Trial): study protocol of a prospective, observational, noninterventional, multicenter, clinical trial’, </w:t>
      </w:r>
      <w:r w:rsidRPr="009D4340">
        <w:rPr>
          <w:rFonts w:cs="Times New Roman"/>
          <w:i/>
          <w:iCs/>
          <w:noProof/>
          <w:sz w:val="22"/>
          <w:szCs w:val="24"/>
        </w:rPr>
        <w:t>Medicine</w:t>
      </w:r>
      <w:r w:rsidRPr="009D4340">
        <w:rPr>
          <w:rFonts w:cs="Times New Roman"/>
          <w:noProof/>
          <w:sz w:val="22"/>
          <w:szCs w:val="24"/>
        </w:rPr>
        <w:t>. Wolters Kluwer Health, 97(6).</w:t>
      </w:r>
    </w:p>
    <w:p w14:paraId="1493CD7B"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Bushnell, B. (2014) </w:t>
      </w:r>
      <w:r w:rsidRPr="009D4340">
        <w:rPr>
          <w:rFonts w:cs="Times New Roman"/>
          <w:i/>
          <w:iCs/>
          <w:noProof/>
          <w:sz w:val="22"/>
          <w:szCs w:val="24"/>
        </w:rPr>
        <w:t>BBMap: a fast, accurate, splice-aware aligner</w:t>
      </w:r>
      <w:r w:rsidRPr="009D4340">
        <w:rPr>
          <w:rFonts w:cs="Times New Roman"/>
          <w:noProof/>
          <w:sz w:val="22"/>
          <w:szCs w:val="24"/>
        </w:rPr>
        <w:t xml:space="preserve">. Lawrence Berkeley National </w:t>
      </w:r>
      <w:r w:rsidRPr="009D4340">
        <w:rPr>
          <w:rFonts w:cs="Times New Roman"/>
          <w:noProof/>
          <w:sz w:val="22"/>
          <w:szCs w:val="24"/>
        </w:rPr>
        <w:lastRenderedPageBreak/>
        <w:t>Lab.(LBNL), Berkeley, CA (United States).</w:t>
      </w:r>
    </w:p>
    <w:p w14:paraId="053EA2BB"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Castillo, D. J. </w:t>
      </w:r>
      <w:r w:rsidRPr="009D4340">
        <w:rPr>
          <w:rFonts w:cs="Times New Roman"/>
          <w:i/>
          <w:iCs/>
          <w:noProof/>
          <w:sz w:val="22"/>
          <w:szCs w:val="24"/>
        </w:rPr>
        <w:t>et al.</w:t>
      </w:r>
      <w:r w:rsidRPr="009D4340">
        <w:rPr>
          <w:rFonts w:cs="Times New Roman"/>
          <w:noProof/>
          <w:sz w:val="22"/>
          <w:szCs w:val="24"/>
        </w:rPr>
        <w:t xml:space="preserve"> (2019) ‘The healthy human blood microbiome: Fact or fiction?’, </w:t>
      </w:r>
      <w:r w:rsidRPr="009D4340">
        <w:rPr>
          <w:rFonts w:cs="Times New Roman"/>
          <w:i/>
          <w:iCs/>
          <w:noProof/>
          <w:sz w:val="22"/>
          <w:szCs w:val="24"/>
        </w:rPr>
        <w:t>Frontiers in cellular and infection microbiology</w:t>
      </w:r>
      <w:r w:rsidRPr="009D4340">
        <w:rPr>
          <w:rFonts w:cs="Times New Roman"/>
          <w:noProof/>
          <w:sz w:val="22"/>
          <w:szCs w:val="24"/>
        </w:rPr>
        <w:t>. Frontiers, 9, p. 148.</w:t>
      </w:r>
    </w:p>
    <w:p w14:paraId="4EF59881"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Davis, N. M. </w:t>
      </w:r>
      <w:r w:rsidRPr="009D4340">
        <w:rPr>
          <w:rFonts w:cs="Times New Roman"/>
          <w:i/>
          <w:iCs/>
          <w:noProof/>
          <w:sz w:val="22"/>
          <w:szCs w:val="24"/>
        </w:rPr>
        <w:t>et al.</w:t>
      </w:r>
      <w:r w:rsidRPr="009D4340">
        <w:rPr>
          <w:rFonts w:cs="Times New Roman"/>
          <w:noProof/>
          <w:sz w:val="22"/>
          <w:szCs w:val="24"/>
        </w:rPr>
        <w:t xml:space="preserve"> (2018) ‘Simple statistical identification and removal of contaminant sequences in marker-gene and metagenomics data’, </w:t>
      </w:r>
      <w:r w:rsidRPr="009D4340">
        <w:rPr>
          <w:rFonts w:cs="Times New Roman"/>
          <w:i/>
          <w:iCs/>
          <w:noProof/>
          <w:sz w:val="22"/>
          <w:szCs w:val="24"/>
        </w:rPr>
        <w:t>Microbiome</w:t>
      </w:r>
      <w:r w:rsidRPr="009D4340">
        <w:rPr>
          <w:rFonts w:cs="Times New Roman"/>
          <w:noProof/>
          <w:sz w:val="22"/>
          <w:szCs w:val="24"/>
        </w:rPr>
        <w:t>. BioMed Central, 6(1), p. 226.</w:t>
      </w:r>
    </w:p>
    <w:p w14:paraId="3EE86C06"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Eisenhofer, R. </w:t>
      </w:r>
      <w:r w:rsidRPr="009D4340">
        <w:rPr>
          <w:rFonts w:cs="Times New Roman"/>
          <w:i/>
          <w:iCs/>
          <w:noProof/>
          <w:sz w:val="22"/>
          <w:szCs w:val="24"/>
        </w:rPr>
        <w:t>et al.</w:t>
      </w:r>
      <w:r w:rsidRPr="009D4340">
        <w:rPr>
          <w:rFonts w:cs="Times New Roman"/>
          <w:noProof/>
          <w:sz w:val="22"/>
          <w:szCs w:val="24"/>
        </w:rPr>
        <w:t xml:space="preserve"> (2019) ‘Contamination in Low Microbial Biomass Microbiome Studies: Issues and Recommendations’, </w:t>
      </w:r>
      <w:r w:rsidRPr="009D4340">
        <w:rPr>
          <w:rFonts w:cs="Times New Roman"/>
          <w:i/>
          <w:iCs/>
          <w:noProof/>
          <w:sz w:val="22"/>
          <w:szCs w:val="24"/>
        </w:rPr>
        <w:t>Trends in Microbiology</w:t>
      </w:r>
      <w:r w:rsidRPr="009D4340">
        <w:rPr>
          <w:rFonts w:cs="Times New Roman"/>
          <w:noProof/>
          <w:sz w:val="22"/>
          <w:szCs w:val="24"/>
        </w:rPr>
        <w:t>, 27(2), pp. 105–117. doi: https://doi.org/10.1016/j.tim.2018.11.003.</w:t>
      </w:r>
    </w:p>
    <w:p w14:paraId="7584EFE1"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Glassing, A. </w:t>
      </w:r>
      <w:r w:rsidRPr="009D4340">
        <w:rPr>
          <w:rFonts w:cs="Times New Roman"/>
          <w:i/>
          <w:iCs/>
          <w:noProof/>
          <w:sz w:val="22"/>
          <w:szCs w:val="24"/>
        </w:rPr>
        <w:t>et al.</w:t>
      </w:r>
      <w:r w:rsidRPr="009D4340">
        <w:rPr>
          <w:rFonts w:cs="Times New Roman"/>
          <w:noProof/>
          <w:sz w:val="22"/>
          <w:szCs w:val="24"/>
        </w:rPr>
        <w:t xml:space="preserve"> (2016) ‘Inherent bacterial DNA contamination of extraction and sequencing reagents may affect interpretation of microbiota in low bacterial biomass samples’, </w:t>
      </w:r>
      <w:r w:rsidRPr="009D4340">
        <w:rPr>
          <w:rFonts w:cs="Times New Roman"/>
          <w:i/>
          <w:iCs/>
          <w:noProof/>
          <w:sz w:val="22"/>
          <w:szCs w:val="24"/>
        </w:rPr>
        <w:t>Gut pathogens</w:t>
      </w:r>
      <w:r w:rsidRPr="009D4340">
        <w:rPr>
          <w:rFonts w:cs="Times New Roman"/>
          <w:noProof/>
          <w:sz w:val="22"/>
          <w:szCs w:val="24"/>
        </w:rPr>
        <w:t>. Springer, 8(1), p. 24.</w:t>
      </w:r>
    </w:p>
    <w:p w14:paraId="07F37271"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Gosiewski, T. </w:t>
      </w:r>
      <w:r w:rsidRPr="009D4340">
        <w:rPr>
          <w:rFonts w:cs="Times New Roman"/>
          <w:i/>
          <w:iCs/>
          <w:noProof/>
          <w:sz w:val="22"/>
          <w:szCs w:val="24"/>
        </w:rPr>
        <w:t>et al.</w:t>
      </w:r>
      <w:r w:rsidRPr="009D4340">
        <w:rPr>
          <w:rFonts w:cs="Times New Roman"/>
          <w:noProof/>
          <w:sz w:val="22"/>
          <w:szCs w:val="24"/>
        </w:rPr>
        <w:t xml:space="preserve"> (2017) ‘Comprehensive detection and identification of bacterial DNA in the blood of patients with sepsis and healthy volunteers using next-generation sequencing method-the observation of DNAemia’, </w:t>
      </w:r>
      <w:r w:rsidRPr="009D4340">
        <w:rPr>
          <w:rFonts w:cs="Times New Roman"/>
          <w:i/>
          <w:iCs/>
          <w:noProof/>
          <w:sz w:val="22"/>
          <w:szCs w:val="24"/>
        </w:rPr>
        <w:t>European Journal of Clinical Microbiology &amp; Infectious Diseases</w:t>
      </w:r>
      <w:r w:rsidRPr="009D4340">
        <w:rPr>
          <w:rFonts w:cs="Times New Roman"/>
          <w:noProof/>
          <w:sz w:val="22"/>
          <w:szCs w:val="24"/>
        </w:rPr>
        <w:t>. Springer, 36(2), pp. 329–336.</w:t>
      </w:r>
    </w:p>
    <w:p w14:paraId="217A1B84"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Goto, M. and Al-Hasan, M. N. (2013) ‘Overall burden of bloodstream infection and nosocomial bloodstream infection in North America and Europe’, </w:t>
      </w:r>
      <w:r w:rsidRPr="009D4340">
        <w:rPr>
          <w:rFonts w:cs="Times New Roman"/>
          <w:i/>
          <w:iCs/>
          <w:noProof/>
          <w:sz w:val="22"/>
          <w:szCs w:val="24"/>
        </w:rPr>
        <w:t>Clinical Microbiology and Infection</w:t>
      </w:r>
      <w:r w:rsidRPr="009D4340">
        <w:rPr>
          <w:rFonts w:cs="Times New Roman"/>
          <w:noProof/>
          <w:sz w:val="22"/>
          <w:szCs w:val="24"/>
        </w:rPr>
        <w:t>. Elsevier, 19(6), pp. 501–509.</w:t>
      </w:r>
    </w:p>
    <w:p w14:paraId="647E4ED9"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Grumaz, C. </w:t>
      </w:r>
      <w:r w:rsidRPr="009D4340">
        <w:rPr>
          <w:rFonts w:cs="Times New Roman"/>
          <w:i/>
          <w:iCs/>
          <w:noProof/>
          <w:sz w:val="22"/>
          <w:szCs w:val="24"/>
        </w:rPr>
        <w:t>et al.</w:t>
      </w:r>
      <w:r w:rsidRPr="009D4340">
        <w:rPr>
          <w:rFonts w:cs="Times New Roman"/>
          <w:noProof/>
          <w:sz w:val="22"/>
          <w:szCs w:val="24"/>
        </w:rPr>
        <w:t xml:space="preserve"> (2020) ‘Rapid Next-Generation Sequencing–Based Diagnostics of Bacteremia in Septic Patients’, </w:t>
      </w:r>
      <w:r w:rsidRPr="009D4340">
        <w:rPr>
          <w:rFonts w:cs="Times New Roman"/>
          <w:i/>
          <w:iCs/>
          <w:noProof/>
          <w:sz w:val="22"/>
          <w:szCs w:val="24"/>
        </w:rPr>
        <w:t>The Journal of Molecular Diagnostics</w:t>
      </w:r>
      <w:r w:rsidRPr="009D4340">
        <w:rPr>
          <w:rFonts w:cs="Times New Roman"/>
          <w:noProof/>
          <w:sz w:val="22"/>
          <w:szCs w:val="24"/>
        </w:rPr>
        <w:t>. Elsevier, 22(3), pp. 405–418.</w:t>
      </w:r>
    </w:p>
    <w:p w14:paraId="5CA3C800"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Jervis-Bardy, J. </w:t>
      </w:r>
      <w:r w:rsidRPr="009D4340">
        <w:rPr>
          <w:rFonts w:cs="Times New Roman"/>
          <w:i/>
          <w:iCs/>
          <w:noProof/>
          <w:sz w:val="22"/>
          <w:szCs w:val="24"/>
        </w:rPr>
        <w:t>et al.</w:t>
      </w:r>
      <w:r w:rsidRPr="009D4340">
        <w:rPr>
          <w:rFonts w:cs="Times New Roman"/>
          <w:noProof/>
          <w:sz w:val="22"/>
          <w:szCs w:val="24"/>
        </w:rPr>
        <w:t xml:space="preserve"> (2015) ‘Deriving accurate microbiota profiles from human samples with low bacterial content through post-sequencing processing of Illumina MiSeq data’, </w:t>
      </w:r>
      <w:r w:rsidRPr="009D4340">
        <w:rPr>
          <w:rFonts w:cs="Times New Roman"/>
          <w:i/>
          <w:iCs/>
          <w:noProof/>
          <w:sz w:val="22"/>
          <w:szCs w:val="24"/>
        </w:rPr>
        <w:t>Microbiome</w:t>
      </w:r>
      <w:r w:rsidRPr="009D4340">
        <w:rPr>
          <w:rFonts w:cs="Times New Roman"/>
          <w:noProof/>
          <w:sz w:val="22"/>
          <w:szCs w:val="24"/>
        </w:rPr>
        <w:t>. Springer, 3(1), p. 19.</w:t>
      </w:r>
    </w:p>
    <w:p w14:paraId="123C9ACB"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Langmead, B. </w:t>
      </w:r>
      <w:r w:rsidRPr="009D4340">
        <w:rPr>
          <w:rFonts w:cs="Times New Roman"/>
          <w:i/>
          <w:iCs/>
          <w:noProof/>
          <w:sz w:val="22"/>
          <w:szCs w:val="24"/>
        </w:rPr>
        <w:t>et al.</w:t>
      </w:r>
      <w:r w:rsidRPr="009D4340">
        <w:rPr>
          <w:rFonts w:cs="Times New Roman"/>
          <w:noProof/>
          <w:sz w:val="22"/>
          <w:szCs w:val="24"/>
        </w:rPr>
        <w:t xml:space="preserve"> (2009) ‘Ultrafast and memory-efficient alignment of short DNA sequences to the human genome’, </w:t>
      </w:r>
      <w:r w:rsidRPr="009D4340">
        <w:rPr>
          <w:rFonts w:cs="Times New Roman"/>
          <w:i/>
          <w:iCs/>
          <w:noProof/>
          <w:sz w:val="22"/>
          <w:szCs w:val="24"/>
        </w:rPr>
        <w:t>Genome biology</w:t>
      </w:r>
      <w:r w:rsidRPr="009D4340">
        <w:rPr>
          <w:rFonts w:cs="Times New Roman"/>
          <w:noProof/>
          <w:sz w:val="22"/>
          <w:szCs w:val="24"/>
        </w:rPr>
        <w:t>. Springer, 10(3), p. R25.</w:t>
      </w:r>
    </w:p>
    <w:p w14:paraId="3A0B1BB6"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Lu, J. and Salzberg, S. (2020) ‘Ultrafast and accurate 16S microbial community analysis using Kraken 2’, </w:t>
      </w:r>
      <w:r w:rsidRPr="009D4340">
        <w:rPr>
          <w:rFonts w:cs="Times New Roman"/>
          <w:i/>
          <w:iCs/>
          <w:noProof/>
          <w:sz w:val="22"/>
          <w:szCs w:val="24"/>
        </w:rPr>
        <w:t>bioRxiv</w:t>
      </w:r>
      <w:r w:rsidRPr="009D4340">
        <w:rPr>
          <w:rFonts w:cs="Times New Roman"/>
          <w:noProof/>
          <w:sz w:val="22"/>
          <w:szCs w:val="24"/>
        </w:rPr>
        <w:t>. Cold Spring Harbor Laboratory.</w:t>
      </w:r>
    </w:p>
    <w:p w14:paraId="5732F746"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lastRenderedPageBreak/>
        <w:t xml:space="preserve">Martin, M. (2011) ‘Cutadapt removes adapter sequences from high-throughput sequencing reads’, </w:t>
      </w:r>
      <w:r w:rsidRPr="009D4340">
        <w:rPr>
          <w:rFonts w:cs="Times New Roman"/>
          <w:i/>
          <w:iCs/>
          <w:noProof/>
          <w:sz w:val="22"/>
          <w:szCs w:val="24"/>
        </w:rPr>
        <w:t>EMBnet. journal</w:t>
      </w:r>
      <w:r w:rsidRPr="009D4340">
        <w:rPr>
          <w:rFonts w:cs="Times New Roman"/>
          <w:noProof/>
          <w:sz w:val="22"/>
          <w:szCs w:val="24"/>
        </w:rPr>
        <w:t>, 17(1), pp. 10–12.</w:t>
      </w:r>
    </w:p>
    <w:p w14:paraId="59451052"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McIntyre, A. B. R. </w:t>
      </w:r>
      <w:r w:rsidRPr="009D4340">
        <w:rPr>
          <w:rFonts w:cs="Times New Roman"/>
          <w:i/>
          <w:iCs/>
          <w:noProof/>
          <w:sz w:val="22"/>
          <w:szCs w:val="24"/>
        </w:rPr>
        <w:t>et al.</w:t>
      </w:r>
      <w:r w:rsidRPr="009D4340">
        <w:rPr>
          <w:rFonts w:cs="Times New Roman"/>
          <w:noProof/>
          <w:sz w:val="22"/>
          <w:szCs w:val="24"/>
        </w:rPr>
        <w:t xml:space="preserve"> (2017) ‘Comprehensive benchmarking and ensemble approaches for metagenomic classifiers’, </w:t>
      </w:r>
      <w:r w:rsidRPr="009D4340">
        <w:rPr>
          <w:rFonts w:cs="Times New Roman"/>
          <w:i/>
          <w:iCs/>
          <w:noProof/>
          <w:sz w:val="22"/>
          <w:szCs w:val="24"/>
        </w:rPr>
        <w:t>Genome biology</w:t>
      </w:r>
      <w:r w:rsidRPr="009D4340">
        <w:rPr>
          <w:rFonts w:cs="Times New Roman"/>
          <w:noProof/>
          <w:sz w:val="22"/>
          <w:szCs w:val="24"/>
        </w:rPr>
        <w:t>. BioMed Central, 18(1), p. 182.</w:t>
      </w:r>
    </w:p>
    <w:p w14:paraId="498FF61A"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Morfopoulou, S. and Plagnol, V. (2015) ‘Bayesian mixture analysis for metagenomic community profiling’, </w:t>
      </w:r>
      <w:r w:rsidRPr="009D4340">
        <w:rPr>
          <w:rFonts w:cs="Times New Roman"/>
          <w:i/>
          <w:iCs/>
          <w:noProof/>
          <w:sz w:val="22"/>
          <w:szCs w:val="24"/>
        </w:rPr>
        <w:t>Bioinformatics</w:t>
      </w:r>
      <w:r w:rsidRPr="009D4340">
        <w:rPr>
          <w:rFonts w:cs="Times New Roman"/>
          <w:noProof/>
          <w:sz w:val="22"/>
          <w:szCs w:val="24"/>
        </w:rPr>
        <w:t>. Oxford University Press, 31(18), pp. 2930–2938.</w:t>
      </w:r>
    </w:p>
    <w:p w14:paraId="32E114E5"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Morton, J. T. </w:t>
      </w:r>
      <w:r w:rsidRPr="009D4340">
        <w:rPr>
          <w:rFonts w:cs="Times New Roman"/>
          <w:i/>
          <w:iCs/>
          <w:noProof/>
          <w:sz w:val="22"/>
          <w:szCs w:val="24"/>
        </w:rPr>
        <w:t>et al.</w:t>
      </w:r>
      <w:r w:rsidRPr="009D4340">
        <w:rPr>
          <w:rFonts w:cs="Times New Roman"/>
          <w:noProof/>
          <w:sz w:val="22"/>
          <w:szCs w:val="24"/>
        </w:rPr>
        <w:t xml:space="preserve"> (2019) ‘Establishing microbial composition measurement standards with reference frames’, </w:t>
      </w:r>
      <w:r w:rsidRPr="009D4340">
        <w:rPr>
          <w:rFonts w:cs="Times New Roman"/>
          <w:i/>
          <w:iCs/>
          <w:noProof/>
          <w:sz w:val="22"/>
          <w:szCs w:val="24"/>
        </w:rPr>
        <w:t>Nature Communications</w:t>
      </w:r>
      <w:r w:rsidRPr="009D4340">
        <w:rPr>
          <w:rFonts w:cs="Times New Roman"/>
          <w:noProof/>
          <w:sz w:val="22"/>
          <w:szCs w:val="24"/>
        </w:rPr>
        <w:t>, 10(1), p. 2719. doi: 10.1038/s41467-019-10656-5.</w:t>
      </w:r>
    </w:p>
    <w:p w14:paraId="7FEB59AC"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Païssé, S. </w:t>
      </w:r>
      <w:r w:rsidRPr="009D4340">
        <w:rPr>
          <w:rFonts w:cs="Times New Roman"/>
          <w:i/>
          <w:iCs/>
          <w:noProof/>
          <w:sz w:val="22"/>
          <w:szCs w:val="24"/>
        </w:rPr>
        <w:t>et al.</w:t>
      </w:r>
      <w:r w:rsidRPr="009D4340">
        <w:rPr>
          <w:rFonts w:cs="Times New Roman"/>
          <w:noProof/>
          <w:sz w:val="22"/>
          <w:szCs w:val="24"/>
        </w:rPr>
        <w:t xml:space="preserve"> (2016) ‘Comprehensive description of blood microbiome from healthy donors assessed by 16 S targeted metagenomic sequencing’, </w:t>
      </w:r>
      <w:r w:rsidRPr="009D4340">
        <w:rPr>
          <w:rFonts w:cs="Times New Roman"/>
          <w:i/>
          <w:iCs/>
          <w:noProof/>
          <w:sz w:val="22"/>
          <w:szCs w:val="24"/>
        </w:rPr>
        <w:t>Transfusion</w:t>
      </w:r>
      <w:r w:rsidRPr="009D4340">
        <w:rPr>
          <w:rFonts w:cs="Times New Roman"/>
          <w:noProof/>
          <w:sz w:val="22"/>
          <w:szCs w:val="24"/>
        </w:rPr>
        <w:t>. Wiley Online Library, 56(5), pp. 1138–1147.</w:t>
      </w:r>
    </w:p>
    <w:p w14:paraId="02DC1C71"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Quast, C. </w:t>
      </w:r>
      <w:r w:rsidRPr="009D4340">
        <w:rPr>
          <w:rFonts w:cs="Times New Roman"/>
          <w:i/>
          <w:iCs/>
          <w:noProof/>
          <w:sz w:val="22"/>
          <w:szCs w:val="24"/>
        </w:rPr>
        <w:t>et al.</w:t>
      </w:r>
      <w:r w:rsidRPr="009D4340">
        <w:rPr>
          <w:rFonts w:cs="Times New Roman"/>
          <w:noProof/>
          <w:sz w:val="22"/>
          <w:szCs w:val="24"/>
        </w:rPr>
        <w:t xml:space="preserve"> (2012) ‘The SILVA ribosomal RNA gene database project: improved data processing and web-based tools’, </w:t>
      </w:r>
      <w:r w:rsidRPr="009D4340">
        <w:rPr>
          <w:rFonts w:cs="Times New Roman"/>
          <w:i/>
          <w:iCs/>
          <w:noProof/>
          <w:sz w:val="22"/>
          <w:szCs w:val="24"/>
        </w:rPr>
        <w:t>Nucleic acids research</w:t>
      </w:r>
      <w:r w:rsidRPr="009D4340">
        <w:rPr>
          <w:rFonts w:cs="Times New Roman"/>
          <w:noProof/>
          <w:sz w:val="22"/>
          <w:szCs w:val="24"/>
        </w:rPr>
        <w:t>. Oxford University Press, 41(D1), pp. D590–D596.</w:t>
      </w:r>
    </w:p>
    <w:p w14:paraId="513BBF64"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Salipante, S. J. </w:t>
      </w:r>
      <w:r w:rsidRPr="009D4340">
        <w:rPr>
          <w:rFonts w:cs="Times New Roman"/>
          <w:i/>
          <w:iCs/>
          <w:noProof/>
          <w:sz w:val="22"/>
          <w:szCs w:val="24"/>
        </w:rPr>
        <w:t>et al.</w:t>
      </w:r>
      <w:r w:rsidRPr="009D4340">
        <w:rPr>
          <w:rFonts w:cs="Times New Roman"/>
          <w:noProof/>
          <w:sz w:val="22"/>
          <w:szCs w:val="24"/>
        </w:rPr>
        <w:t xml:space="preserve"> (2013) ‘Rapid 16S rRNA next-generation sequencing of polymicrobial clinical samples for diagnosis of complex bacterial infections’, </w:t>
      </w:r>
      <w:r w:rsidRPr="009D4340">
        <w:rPr>
          <w:rFonts w:cs="Times New Roman"/>
          <w:i/>
          <w:iCs/>
          <w:noProof/>
          <w:sz w:val="22"/>
          <w:szCs w:val="24"/>
        </w:rPr>
        <w:t>PloS one</w:t>
      </w:r>
      <w:r w:rsidRPr="009D4340">
        <w:rPr>
          <w:rFonts w:cs="Times New Roman"/>
          <w:noProof/>
          <w:sz w:val="22"/>
          <w:szCs w:val="24"/>
        </w:rPr>
        <w:t>. Public Library of Science, 8(5), pp. e65226–e65226. doi: 10.1371/journal.pone.0065226.</w:t>
      </w:r>
    </w:p>
    <w:p w14:paraId="7C2A3CD6"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Salter, S. J. </w:t>
      </w:r>
      <w:r w:rsidRPr="009D4340">
        <w:rPr>
          <w:rFonts w:cs="Times New Roman"/>
          <w:i/>
          <w:iCs/>
          <w:noProof/>
          <w:sz w:val="22"/>
          <w:szCs w:val="24"/>
        </w:rPr>
        <w:t>et al.</w:t>
      </w:r>
      <w:r w:rsidRPr="009D4340">
        <w:rPr>
          <w:rFonts w:cs="Times New Roman"/>
          <w:noProof/>
          <w:sz w:val="22"/>
          <w:szCs w:val="24"/>
        </w:rPr>
        <w:t xml:space="preserve"> (2014) ‘Reagent and laboratory contamination can critically impact sequence-based microbiome analyses’, </w:t>
      </w:r>
      <w:r w:rsidRPr="009D4340">
        <w:rPr>
          <w:rFonts w:cs="Times New Roman"/>
          <w:i/>
          <w:iCs/>
          <w:noProof/>
          <w:sz w:val="22"/>
          <w:szCs w:val="24"/>
        </w:rPr>
        <w:t>BMC biology</w:t>
      </w:r>
      <w:r w:rsidRPr="009D4340">
        <w:rPr>
          <w:rFonts w:cs="Times New Roman"/>
          <w:noProof/>
          <w:sz w:val="22"/>
          <w:szCs w:val="24"/>
        </w:rPr>
        <w:t>. Springer, 12(1), p. 87.</w:t>
      </w:r>
    </w:p>
    <w:p w14:paraId="7B6CE8F5"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Shannon, C. E. (1948) ‘A mathematical theory of communication’, </w:t>
      </w:r>
      <w:r w:rsidRPr="009D4340">
        <w:rPr>
          <w:rFonts w:cs="Times New Roman"/>
          <w:i/>
          <w:iCs/>
          <w:noProof/>
          <w:sz w:val="22"/>
          <w:szCs w:val="24"/>
        </w:rPr>
        <w:t>The Bell system technical journal</w:t>
      </w:r>
      <w:r w:rsidRPr="009D4340">
        <w:rPr>
          <w:rFonts w:cs="Times New Roman"/>
          <w:noProof/>
          <w:sz w:val="22"/>
          <w:szCs w:val="24"/>
        </w:rPr>
        <w:t>. Nokia Bell Labs, 27(3), pp. 379–423.</w:t>
      </w:r>
    </w:p>
    <w:p w14:paraId="1C31EBBA"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Simon, H. Y. </w:t>
      </w:r>
      <w:r w:rsidRPr="009D4340">
        <w:rPr>
          <w:rFonts w:cs="Times New Roman"/>
          <w:i/>
          <w:iCs/>
          <w:noProof/>
          <w:sz w:val="22"/>
          <w:szCs w:val="24"/>
        </w:rPr>
        <w:t>et al.</w:t>
      </w:r>
      <w:r w:rsidRPr="009D4340">
        <w:rPr>
          <w:rFonts w:cs="Times New Roman"/>
          <w:noProof/>
          <w:sz w:val="22"/>
          <w:szCs w:val="24"/>
        </w:rPr>
        <w:t xml:space="preserve"> (2019) ‘Benchmarking metagenomics tools for taxonomic classification’, </w:t>
      </w:r>
      <w:r w:rsidRPr="009D4340">
        <w:rPr>
          <w:rFonts w:cs="Times New Roman"/>
          <w:i/>
          <w:iCs/>
          <w:noProof/>
          <w:sz w:val="22"/>
          <w:szCs w:val="24"/>
        </w:rPr>
        <w:t>Cell</w:t>
      </w:r>
      <w:r w:rsidRPr="009D4340">
        <w:rPr>
          <w:rFonts w:cs="Times New Roman"/>
          <w:noProof/>
          <w:sz w:val="22"/>
          <w:szCs w:val="24"/>
        </w:rPr>
        <w:t>. Elsevier, 178(4), pp. 779–794.</w:t>
      </w:r>
    </w:p>
    <w:p w14:paraId="422D07A0" w14:textId="77777777" w:rsidR="009D4340" w:rsidRPr="009D4340" w:rsidRDefault="009D4340" w:rsidP="009D4340">
      <w:pPr>
        <w:widowControl w:val="0"/>
        <w:autoSpaceDE w:val="0"/>
        <w:autoSpaceDN w:val="0"/>
        <w:adjustRightInd w:val="0"/>
        <w:spacing w:after="0" w:line="480" w:lineRule="auto"/>
        <w:rPr>
          <w:rFonts w:cs="Times New Roman"/>
          <w:noProof/>
          <w:sz w:val="22"/>
          <w:szCs w:val="24"/>
        </w:rPr>
      </w:pPr>
      <w:r w:rsidRPr="009D4340">
        <w:rPr>
          <w:rFonts w:cs="Times New Roman"/>
          <w:noProof/>
          <w:sz w:val="22"/>
          <w:szCs w:val="24"/>
        </w:rPr>
        <w:t xml:space="preserve">Weiss, S. </w:t>
      </w:r>
      <w:r w:rsidRPr="009D4340">
        <w:rPr>
          <w:rFonts w:cs="Times New Roman"/>
          <w:i/>
          <w:iCs/>
          <w:noProof/>
          <w:sz w:val="22"/>
          <w:szCs w:val="24"/>
        </w:rPr>
        <w:t>et al.</w:t>
      </w:r>
      <w:r w:rsidRPr="009D4340">
        <w:rPr>
          <w:rFonts w:cs="Times New Roman"/>
          <w:noProof/>
          <w:sz w:val="22"/>
          <w:szCs w:val="24"/>
        </w:rPr>
        <w:t xml:space="preserve"> (2014) ‘Tracking down the sources of experimental contamination in microbiome studies’, </w:t>
      </w:r>
      <w:r w:rsidRPr="009D4340">
        <w:rPr>
          <w:rFonts w:cs="Times New Roman"/>
          <w:i/>
          <w:iCs/>
          <w:noProof/>
          <w:sz w:val="22"/>
          <w:szCs w:val="24"/>
        </w:rPr>
        <w:t>Genome biology</w:t>
      </w:r>
      <w:r w:rsidRPr="009D4340">
        <w:rPr>
          <w:rFonts w:cs="Times New Roman"/>
          <w:noProof/>
          <w:sz w:val="22"/>
          <w:szCs w:val="24"/>
        </w:rPr>
        <w:t>. BioMed Central, 15(12), p. 564.</w:t>
      </w:r>
    </w:p>
    <w:p w14:paraId="548A62C9" w14:textId="77777777" w:rsidR="009D4340" w:rsidRPr="009D4340" w:rsidRDefault="009D4340" w:rsidP="009D4340">
      <w:pPr>
        <w:widowControl w:val="0"/>
        <w:autoSpaceDE w:val="0"/>
        <w:autoSpaceDN w:val="0"/>
        <w:adjustRightInd w:val="0"/>
        <w:spacing w:after="0" w:line="480" w:lineRule="auto"/>
        <w:rPr>
          <w:rFonts w:cs="Times New Roman"/>
          <w:noProof/>
          <w:sz w:val="22"/>
        </w:rPr>
      </w:pPr>
      <w:r w:rsidRPr="009D4340">
        <w:rPr>
          <w:rFonts w:cs="Times New Roman"/>
          <w:noProof/>
          <w:sz w:val="22"/>
          <w:szCs w:val="24"/>
        </w:rPr>
        <w:t xml:space="preserve">Wood, D. E., Lu, J. and Langmead, B. (2019) ‘Improved metagenomic analysis with Kraken 2’, </w:t>
      </w:r>
      <w:r w:rsidRPr="009D4340">
        <w:rPr>
          <w:rFonts w:cs="Times New Roman"/>
          <w:i/>
          <w:iCs/>
          <w:noProof/>
          <w:sz w:val="22"/>
          <w:szCs w:val="24"/>
        </w:rPr>
        <w:t>Genome biology</w:t>
      </w:r>
      <w:r w:rsidRPr="009D4340">
        <w:rPr>
          <w:rFonts w:cs="Times New Roman"/>
          <w:noProof/>
          <w:sz w:val="22"/>
          <w:szCs w:val="24"/>
        </w:rPr>
        <w:t>. Springer, 20(1), p. 257.</w:t>
      </w:r>
    </w:p>
    <w:p w14:paraId="75658A0B" w14:textId="07A83452" w:rsidR="00BC2AC9" w:rsidRDefault="00BC2AC9" w:rsidP="00EC12A2">
      <w:pPr>
        <w:widowControl w:val="0"/>
        <w:autoSpaceDE w:val="0"/>
        <w:autoSpaceDN w:val="0"/>
        <w:adjustRightInd w:val="0"/>
        <w:spacing w:after="0" w:line="480" w:lineRule="auto"/>
        <w:rPr>
          <w:sz w:val="28"/>
          <w:szCs w:val="28"/>
        </w:rPr>
      </w:pPr>
      <w:r>
        <w:rPr>
          <w:rFonts w:cs="Times New Roman"/>
          <w:szCs w:val="24"/>
        </w:rPr>
        <w:lastRenderedPageBreak/>
        <w:fldChar w:fldCharType="end"/>
      </w:r>
    </w:p>
    <w:p w14:paraId="2016C0F5" w14:textId="77777777" w:rsidR="007A101D" w:rsidRDefault="007A101D"/>
    <w:sectPr w:rsidR="007A101D" w:rsidSect="00BC2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702"/>
    <w:multiLevelType w:val="hybridMultilevel"/>
    <w:tmpl w:val="DD1C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AC9"/>
    <w:rsid w:val="00010747"/>
    <w:rsid w:val="000124B7"/>
    <w:rsid w:val="00016E39"/>
    <w:rsid w:val="00033D34"/>
    <w:rsid w:val="000439B1"/>
    <w:rsid w:val="00045AC8"/>
    <w:rsid w:val="0007277C"/>
    <w:rsid w:val="000757E0"/>
    <w:rsid w:val="00082239"/>
    <w:rsid w:val="00091BA5"/>
    <w:rsid w:val="000B1C7A"/>
    <w:rsid w:val="000B425B"/>
    <w:rsid w:val="000C6B1E"/>
    <w:rsid w:val="000C6C07"/>
    <w:rsid w:val="000D09F5"/>
    <w:rsid w:val="000D0A89"/>
    <w:rsid w:val="000F2787"/>
    <w:rsid w:val="00117A32"/>
    <w:rsid w:val="001460BD"/>
    <w:rsid w:val="0015670C"/>
    <w:rsid w:val="00177635"/>
    <w:rsid w:val="001834F8"/>
    <w:rsid w:val="001903E6"/>
    <w:rsid w:val="00192A6C"/>
    <w:rsid w:val="001C476C"/>
    <w:rsid w:val="001D4937"/>
    <w:rsid w:val="001E1018"/>
    <w:rsid w:val="001F51A2"/>
    <w:rsid w:val="002014AD"/>
    <w:rsid w:val="0020696E"/>
    <w:rsid w:val="002123DE"/>
    <w:rsid w:val="00216E23"/>
    <w:rsid w:val="00224BCA"/>
    <w:rsid w:val="002332BC"/>
    <w:rsid w:val="0025066F"/>
    <w:rsid w:val="002665B9"/>
    <w:rsid w:val="00267882"/>
    <w:rsid w:val="00270F92"/>
    <w:rsid w:val="00282A30"/>
    <w:rsid w:val="00286CF0"/>
    <w:rsid w:val="00295928"/>
    <w:rsid w:val="002B6E55"/>
    <w:rsid w:val="002B79B3"/>
    <w:rsid w:val="002B7B10"/>
    <w:rsid w:val="002C4608"/>
    <w:rsid w:val="002D276E"/>
    <w:rsid w:val="002F1C34"/>
    <w:rsid w:val="002F33A7"/>
    <w:rsid w:val="00316E2A"/>
    <w:rsid w:val="0032048C"/>
    <w:rsid w:val="00325F15"/>
    <w:rsid w:val="00360EC0"/>
    <w:rsid w:val="00374042"/>
    <w:rsid w:val="00386328"/>
    <w:rsid w:val="003A14AE"/>
    <w:rsid w:val="003A36A1"/>
    <w:rsid w:val="003A5F74"/>
    <w:rsid w:val="003B6614"/>
    <w:rsid w:val="003B6FD2"/>
    <w:rsid w:val="003D7C0B"/>
    <w:rsid w:val="003E7870"/>
    <w:rsid w:val="003F165C"/>
    <w:rsid w:val="003F7B54"/>
    <w:rsid w:val="00404AC7"/>
    <w:rsid w:val="0041261F"/>
    <w:rsid w:val="004169D0"/>
    <w:rsid w:val="00425991"/>
    <w:rsid w:val="00427821"/>
    <w:rsid w:val="004319E9"/>
    <w:rsid w:val="00441173"/>
    <w:rsid w:val="00444EE3"/>
    <w:rsid w:val="00447E8E"/>
    <w:rsid w:val="00456B98"/>
    <w:rsid w:val="0046401B"/>
    <w:rsid w:val="00480FD9"/>
    <w:rsid w:val="004843FD"/>
    <w:rsid w:val="00485EC6"/>
    <w:rsid w:val="0049478E"/>
    <w:rsid w:val="004A0520"/>
    <w:rsid w:val="004A15A1"/>
    <w:rsid w:val="004A1C2D"/>
    <w:rsid w:val="004A52BD"/>
    <w:rsid w:val="004D34D8"/>
    <w:rsid w:val="004E2AEF"/>
    <w:rsid w:val="004E4E03"/>
    <w:rsid w:val="004F3BFC"/>
    <w:rsid w:val="004F4C94"/>
    <w:rsid w:val="004F63A3"/>
    <w:rsid w:val="00507631"/>
    <w:rsid w:val="005161DC"/>
    <w:rsid w:val="005162A4"/>
    <w:rsid w:val="0051722E"/>
    <w:rsid w:val="0054185E"/>
    <w:rsid w:val="00542DE6"/>
    <w:rsid w:val="0054410C"/>
    <w:rsid w:val="00545AA9"/>
    <w:rsid w:val="005468E7"/>
    <w:rsid w:val="0057174B"/>
    <w:rsid w:val="00576BB5"/>
    <w:rsid w:val="00585DF8"/>
    <w:rsid w:val="00595D08"/>
    <w:rsid w:val="005B33AB"/>
    <w:rsid w:val="005B4D36"/>
    <w:rsid w:val="005C0301"/>
    <w:rsid w:val="005E7C09"/>
    <w:rsid w:val="00604853"/>
    <w:rsid w:val="00607073"/>
    <w:rsid w:val="00607BD7"/>
    <w:rsid w:val="00610210"/>
    <w:rsid w:val="00622F2C"/>
    <w:rsid w:val="0063201E"/>
    <w:rsid w:val="00642A4E"/>
    <w:rsid w:val="006465F0"/>
    <w:rsid w:val="00665524"/>
    <w:rsid w:val="00691110"/>
    <w:rsid w:val="006946AE"/>
    <w:rsid w:val="006A1DD6"/>
    <w:rsid w:val="006C02B7"/>
    <w:rsid w:val="006C7C22"/>
    <w:rsid w:val="006D0CE9"/>
    <w:rsid w:val="006D2117"/>
    <w:rsid w:val="006D4A7B"/>
    <w:rsid w:val="006E7F3F"/>
    <w:rsid w:val="006F069F"/>
    <w:rsid w:val="006F1AB1"/>
    <w:rsid w:val="00701657"/>
    <w:rsid w:val="00723757"/>
    <w:rsid w:val="00726372"/>
    <w:rsid w:val="00726E50"/>
    <w:rsid w:val="00735A2D"/>
    <w:rsid w:val="00735BEA"/>
    <w:rsid w:val="007418EF"/>
    <w:rsid w:val="00760737"/>
    <w:rsid w:val="00765F48"/>
    <w:rsid w:val="00767B01"/>
    <w:rsid w:val="00776C6E"/>
    <w:rsid w:val="00782EC9"/>
    <w:rsid w:val="007853CC"/>
    <w:rsid w:val="007943EC"/>
    <w:rsid w:val="00794544"/>
    <w:rsid w:val="007A101D"/>
    <w:rsid w:val="007C70D2"/>
    <w:rsid w:val="007D35C3"/>
    <w:rsid w:val="007E051D"/>
    <w:rsid w:val="007E191F"/>
    <w:rsid w:val="007F0B09"/>
    <w:rsid w:val="008028EB"/>
    <w:rsid w:val="00824461"/>
    <w:rsid w:val="00830928"/>
    <w:rsid w:val="00835D02"/>
    <w:rsid w:val="00837D76"/>
    <w:rsid w:val="00842020"/>
    <w:rsid w:val="00853CCF"/>
    <w:rsid w:val="00860D9C"/>
    <w:rsid w:val="00886B41"/>
    <w:rsid w:val="00895E8D"/>
    <w:rsid w:val="008B3197"/>
    <w:rsid w:val="008E5CE3"/>
    <w:rsid w:val="008E74D1"/>
    <w:rsid w:val="00901990"/>
    <w:rsid w:val="00907F8F"/>
    <w:rsid w:val="009172D7"/>
    <w:rsid w:val="009422B2"/>
    <w:rsid w:val="00955CCC"/>
    <w:rsid w:val="009577D9"/>
    <w:rsid w:val="00962C1D"/>
    <w:rsid w:val="00965662"/>
    <w:rsid w:val="00971B23"/>
    <w:rsid w:val="009809EC"/>
    <w:rsid w:val="0099602C"/>
    <w:rsid w:val="0099682E"/>
    <w:rsid w:val="009A1D09"/>
    <w:rsid w:val="009A6D27"/>
    <w:rsid w:val="009D4340"/>
    <w:rsid w:val="009F690E"/>
    <w:rsid w:val="00A15B07"/>
    <w:rsid w:val="00A166AF"/>
    <w:rsid w:val="00A2315B"/>
    <w:rsid w:val="00A46FE4"/>
    <w:rsid w:val="00A571BB"/>
    <w:rsid w:val="00A573C0"/>
    <w:rsid w:val="00AB2216"/>
    <w:rsid w:val="00AE0FE8"/>
    <w:rsid w:val="00AE18DA"/>
    <w:rsid w:val="00AE61BE"/>
    <w:rsid w:val="00AF5DB6"/>
    <w:rsid w:val="00AF609A"/>
    <w:rsid w:val="00AF7E98"/>
    <w:rsid w:val="00B1317C"/>
    <w:rsid w:val="00B232DD"/>
    <w:rsid w:val="00B27100"/>
    <w:rsid w:val="00B27480"/>
    <w:rsid w:val="00B44867"/>
    <w:rsid w:val="00B516A4"/>
    <w:rsid w:val="00B5170C"/>
    <w:rsid w:val="00B52982"/>
    <w:rsid w:val="00B63DD5"/>
    <w:rsid w:val="00B64D4D"/>
    <w:rsid w:val="00B94335"/>
    <w:rsid w:val="00BC2AC9"/>
    <w:rsid w:val="00BD2752"/>
    <w:rsid w:val="00C16FED"/>
    <w:rsid w:val="00C20869"/>
    <w:rsid w:val="00C217C3"/>
    <w:rsid w:val="00C26495"/>
    <w:rsid w:val="00C32264"/>
    <w:rsid w:val="00C638E1"/>
    <w:rsid w:val="00C66E11"/>
    <w:rsid w:val="00C746DE"/>
    <w:rsid w:val="00C74871"/>
    <w:rsid w:val="00C77229"/>
    <w:rsid w:val="00C80A5C"/>
    <w:rsid w:val="00C93961"/>
    <w:rsid w:val="00C9569A"/>
    <w:rsid w:val="00CA190A"/>
    <w:rsid w:val="00CB603D"/>
    <w:rsid w:val="00CD5ED5"/>
    <w:rsid w:val="00CE17CA"/>
    <w:rsid w:val="00CF3274"/>
    <w:rsid w:val="00D05B71"/>
    <w:rsid w:val="00D1385C"/>
    <w:rsid w:val="00D177BD"/>
    <w:rsid w:val="00D21D6A"/>
    <w:rsid w:val="00D26F05"/>
    <w:rsid w:val="00D41ED4"/>
    <w:rsid w:val="00D56D68"/>
    <w:rsid w:val="00D66AF7"/>
    <w:rsid w:val="00D74E06"/>
    <w:rsid w:val="00D77212"/>
    <w:rsid w:val="00D81103"/>
    <w:rsid w:val="00D8126E"/>
    <w:rsid w:val="00D879BD"/>
    <w:rsid w:val="00DA32AF"/>
    <w:rsid w:val="00DB24C1"/>
    <w:rsid w:val="00DC4014"/>
    <w:rsid w:val="00DD2297"/>
    <w:rsid w:val="00DD7F19"/>
    <w:rsid w:val="00DF221B"/>
    <w:rsid w:val="00E0041A"/>
    <w:rsid w:val="00E066B1"/>
    <w:rsid w:val="00E1731F"/>
    <w:rsid w:val="00E259E3"/>
    <w:rsid w:val="00E26570"/>
    <w:rsid w:val="00E3236C"/>
    <w:rsid w:val="00E42DA4"/>
    <w:rsid w:val="00E6050A"/>
    <w:rsid w:val="00E64B34"/>
    <w:rsid w:val="00E6629B"/>
    <w:rsid w:val="00E85520"/>
    <w:rsid w:val="00E8562C"/>
    <w:rsid w:val="00E90653"/>
    <w:rsid w:val="00E90E49"/>
    <w:rsid w:val="00EA29A1"/>
    <w:rsid w:val="00EC12A2"/>
    <w:rsid w:val="00ED2D54"/>
    <w:rsid w:val="00ED3DEF"/>
    <w:rsid w:val="00ED4896"/>
    <w:rsid w:val="00EE177B"/>
    <w:rsid w:val="00F0235E"/>
    <w:rsid w:val="00F50255"/>
    <w:rsid w:val="00F577DE"/>
    <w:rsid w:val="00F61004"/>
    <w:rsid w:val="00F6417A"/>
    <w:rsid w:val="00F6703B"/>
    <w:rsid w:val="00F77848"/>
    <w:rsid w:val="00F951C1"/>
    <w:rsid w:val="00FB14BB"/>
    <w:rsid w:val="00FC5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F56D"/>
  <w15:chartTrackingRefBased/>
  <w15:docId w15:val="{FEC62072-038A-4F7D-8934-B65F613BE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4AE"/>
    <w:pPr>
      <w:spacing w:line="256" w:lineRule="auto"/>
      <w:jc w:val="both"/>
    </w:pPr>
    <w:rPr>
      <w:rFonts w:ascii="Times New Roman" w:hAnsi="Times New Roman"/>
      <w:sz w:val="24"/>
      <w:lang w:val="en-SG"/>
    </w:rPr>
  </w:style>
  <w:style w:type="paragraph" w:styleId="Heading1">
    <w:name w:val="heading 1"/>
    <w:basedOn w:val="Normal"/>
    <w:next w:val="Normal"/>
    <w:link w:val="Heading1Char"/>
    <w:uiPriority w:val="9"/>
    <w:qFormat/>
    <w:rsid w:val="00B94335"/>
    <w:pPr>
      <w:keepNext/>
      <w:keepLines/>
      <w:spacing w:before="240" w:after="0" w:line="480" w:lineRule="auto"/>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B94335"/>
    <w:pPr>
      <w:keepNext/>
      <w:keepLines/>
      <w:spacing w:before="40" w:after="0" w:line="48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BC2AC9"/>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94335"/>
    <w:rPr>
      <w:rFonts w:ascii="Times New Roman" w:eastAsiaTheme="majorEastAsia" w:hAnsi="Times New Roman" w:cstheme="majorBidi"/>
      <w:b/>
      <w:color w:val="0070C0"/>
      <w:sz w:val="32"/>
      <w:szCs w:val="32"/>
      <w:lang w:val="en-SG"/>
    </w:rPr>
  </w:style>
  <w:style w:type="character" w:customStyle="1" w:styleId="Heading2Char">
    <w:name w:val="Heading 2 Char"/>
    <w:basedOn w:val="DefaultParagraphFont"/>
    <w:link w:val="Heading2"/>
    <w:uiPriority w:val="9"/>
    <w:qFormat/>
    <w:rsid w:val="00B94335"/>
    <w:rPr>
      <w:rFonts w:ascii="Times New Roman" w:eastAsiaTheme="majorEastAsia" w:hAnsi="Times New Roman" w:cstheme="majorBidi"/>
      <w:b/>
      <w:color w:val="000000" w:themeColor="text1"/>
      <w:sz w:val="24"/>
      <w:szCs w:val="26"/>
      <w:lang w:val="en-SG"/>
    </w:rPr>
  </w:style>
  <w:style w:type="character" w:customStyle="1" w:styleId="Heading3Char">
    <w:name w:val="Heading 3 Char"/>
    <w:basedOn w:val="DefaultParagraphFont"/>
    <w:link w:val="Heading3"/>
    <w:uiPriority w:val="9"/>
    <w:semiHidden/>
    <w:rsid w:val="00BC2AC9"/>
    <w:rPr>
      <w:rFonts w:ascii="Times New Roman" w:eastAsiaTheme="majorEastAsia" w:hAnsi="Times New Roman" w:cstheme="majorBidi"/>
      <w:b/>
      <w:sz w:val="24"/>
      <w:szCs w:val="24"/>
      <w:lang w:val="en-SG"/>
    </w:rPr>
  </w:style>
  <w:style w:type="character" w:styleId="Hyperlink">
    <w:name w:val="Hyperlink"/>
    <w:basedOn w:val="DefaultParagraphFont"/>
    <w:uiPriority w:val="99"/>
    <w:semiHidden/>
    <w:unhideWhenUsed/>
    <w:rsid w:val="00BC2AC9"/>
    <w:rPr>
      <w:color w:val="0000FF"/>
      <w:u w:val="single"/>
    </w:rPr>
  </w:style>
  <w:style w:type="paragraph" w:styleId="BodyText">
    <w:name w:val="Body Text"/>
    <w:basedOn w:val="Normal"/>
    <w:link w:val="BodyTextChar"/>
    <w:semiHidden/>
    <w:unhideWhenUsed/>
    <w:rsid w:val="00BC2AC9"/>
    <w:pPr>
      <w:spacing w:after="140" w:line="276" w:lineRule="auto"/>
    </w:pPr>
  </w:style>
  <w:style w:type="character" w:customStyle="1" w:styleId="BodyTextChar">
    <w:name w:val="Body Text Char"/>
    <w:basedOn w:val="DefaultParagraphFont"/>
    <w:link w:val="BodyText"/>
    <w:semiHidden/>
    <w:rsid w:val="00BC2AC9"/>
    <w:rPr>
      <w:lang w:val="en-SG"/>
    </w:rPr>
  </w:style>
  <w:style w:type="paragraph" w:customStyle="1" w:styleId="Heading">
    <w:name w:val="Heading"/>
    <w:basedOn w:val="Normal"/>
    <w:next w:val="BodyText"/>
    <w:qFormat/>
    <w:rsid w:val="00BC2AC9"/>
    <w:pPr>
      <w:keepNext/>
      <w:spacing w:before="240" w:after="120"/>
    </w:pPr>
    <w:rPr>
      <w:rFonts w:eastAsia="Noto Sans CJK SC" w:cs="Lohit Devanagari"/>
      <w:b/>
      <w:sz w:val="28"/>
      <w:szCs w:val="28"/>
    </w:rPr>
  </w:style>
  <w:style w:type="character" w:styleId="LineNumber">
    <w:name w:val="line number"/>
    <w:basedOn w:val="DefaultParagraphFont"/>
    <w:uiPriority w:val="99"/>
    <w:semiHidden/>
    <w:unhideWhenUsed/>
    <w:rsid w:val="00BC2AC9"/>
  </w:style>
  <w:style w:type="paragraph" w:styleId="ListParagraph">
    <w:name w:val="List Paragraph"/>
    <w:basedOn w:val="Normal"/>
    <w:uiPriority w:val="34"/>
    <w:qFormat/>
    <w:rsid w:val="007E051D"/>
    <w:pPr>
      <w:ind w:left="720"/>
      <w:contextualSpacing/>
    </w:pPr>
  </w:style>
  <w:style w:type="character" w:styleId="PlaceholderText">
    <w:name w:val="Placeholder Text"/>
    <w:basedOn w:val="DefaultParagraphFont"/>
    <w:uiPriority w:val="99"/>
    <w:semiHidden/>
    <w:rsid w:val="00D21D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085601">
      <w:bodyDiv w:val="1"/>
      <w:marLeft w:val="0"/>
      <w:marRight w:val="0"/>
      <w:marTop w:val="0"/>
      <w:marBottom w:val="0"/>
      <w:divBdr>
        <w:top w:val="none" w:sz="0" w:space="0" w:color="auto"/>
        <w:left w:val="none" w:sz="0" w:space="0" w:color="auto"/>
        <w:bottom w:val="none" w:sz="0" w:space="0" w:color="auto"/>
        <w:right w:val="none" w:sz="0" w:space="0" w:color="auto"/>
      </w:divBdr>
    </w:div>
    <w:div w:id="1125656601">
      <w:bodyDiv w:val="1"/>
      <w:marLeft w:val="0"/>
      <w:marRight w:val="0"/>
      <w:marTop w:val="0"/>
      <w:marBottom w:val="0"/>
      <w:divBdr>
        <w:top w:val="none" w:sz="0" w:space="0" w:color="auto"/>
        <w:left w:val="none" w:sz="0" w:space="0" w:color="auto"/>
        <w:bottom w:val="none" w:sz="0" w:space="0" w:color="auto"/>
        <w:right w:val="none" w:sz="0" w:space="0" w:color="auto"/>
      </w:divBdr>
    </w:div>
    <w:div w:id="1180893808">
      <w:bodyDiv w:val="1"/>
      <w:marLeft w:val="0"/>
      <w:marRight w:val="0"/>
      <w:marTop w:val="0"/>
      <w:marBottom w:val="0"/>
      <w:divBdr>
        <w:top w:val="none" w:sz="0" w:space="0" w:color="auto"/>
        <w:left w:val="none" w:sz="0" w:space="0" w:color="auto"/>
        <w:bottom w:val="none" w:sz="0" w:space="0" w:color="auto"/>
        <w:right w:val="none" w:sz="0" w:space="0" w:color="auto"/>
      </w:divBdr>
    </w:div>
    <w:div w:id="212561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cednotsed/Polymicrobial-Signature-of-Sepsis" TargetMode="Externa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hyperlink" Target="https://tinyurl.com/y7zfg9k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46E35-4BE3-4FA1-9686-3E0A30822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3447</TotalTime>
  <Pages>18</Pages>
  <Words>12606</Words>
  <Characters>71860</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210</cp:revision>
  <dcterms:created xsi:type="dcterms:W3CDTF">2021-04-12T02:14:00Z</dcterms:created>
  <dcterms:modified xsi:type="dcterms:W3CDTF">2021-04-19T03:45:00Z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http://csl.mendeley.com/styles/525107331/advances-in-alzheimers-disease</vt:lpwstr>
  </property>
  <property fmtid="{D5CDD505-2E9C-101B-9397-08002B2CF9AE}" pid="3" name="Mendeley Recent Style Name 0_1">
    <vt:lpwstr>Advances in Alzheimer's Disease - Cedric Tan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da318399-3ae1-3f2d-b60f-df8b7da6ff9e</vt:lpwstr>
  </property>
  <property fmtid="{D5CDD505-2E9C-101B-9397-08002B2CF9AE}" pid="24" name="Mendeley Citation Style_1">
    <vt:lpwstr>http://www.zotero.org/styles/harvard-cite-them-right</vt:lpwstr>
  </property>
</Properties>
</file>