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808080"/>
          <w:sz w:val="26"/>
          <w:szCs w:val="26"/>
        </w:rPr>
        <w:t xml:space="preserve">PHARMAFY SAS</w:t>
      </w:r>
    </w:p>
    <w:p>
      <w:pPr>
        <w:spacing w:after="160"/>
        <w:jc w:val="center"/>
      </w:pPr>
      <w:r>
        <w:rPr>
          <w:rFonts w:ascii="Arial" w:cs="Arial" w:eastAsia="Arial" w:hAnsi="Arial"/>
          <w:b/>
          <w:bCs/>
          <w:color w:val="1F3864"/>
          <w:sz w:val="44"/>
          <w:szCs w:val="44"/>
        </w:rPr>
        <w:t xml:space="preserve">POLITIQUE DE CONSERVATION
DES DONNÉES À CARACTÈRE PERSONNEL</w:t>
      </w:r>
    </w:p>
    <w:p>
      <w:pPr>
        <w:pBdr>
          <w:top w:val="single" w:color="1F3864" w:sz="8"/>
        </w:pBdr>
        <w:spacing w:after="800"/>
        <w:jc w:val="center"/>
      </w:pPr>
      <w:r>
        <w:rPr>
          <w:rFonts w:ascii="Arial" w:cs="Arial" w:eastAsia="Arial" w:hAnsi="Arial"/>
          <w:sz w:val="20"/>
          <w:szCs w:val="20"/>
        </w:rPr>
        <w:t xml:space="preserve"/>
      </w:r>
    </w:p>
    <w:p>
      <w:pPr>
        <w:spacing w:after="120" w:line="276"/>
        <w:jc w:val="center"/>
      </w:pPr>
      <w:r>
        <w:rPr>
          <w:rFonts w:ascii="Arial" w:cs="Arial" w:eastAsia="Arial" w:hAnsi="Arial"/>
          <w:b/>
          <w:bCs/>
          <w:sz w:val="20"/>
          <w:szCs w:val="20"/>
        </w:rPr>
        <w:t xml:space="preserve">Version 1.0</w:t>
      </w:r>
    </w:p>
    <w:p>
      <w:pPr>
        <w:spacing w:after="120" w:line="276"/>
        <w:jc w:val="center"/>
      </w:pPr>
      <w:r>
        <w:rPr>
          <w:rFonts w:ascii="Arial" w:cs="Arial" w:eastAsia="Arial" w:hAnsi="Arial"/>
          <w:sz w:val="20"/>
          <w:szCs w:val="20"/>
        </w:rPr>
        <w:t xml:space="preserve">Date d'entrée en vigueur : 11 août 2026</w:t>
      </w:r>
    </w:p>
    <w:p>
      <w:pPr>
        <w:spacing w:after="120" w:line="276"/>
        <w:jc w:val="center"/>
      </w:pPr>
      <w:r>
        <w:rPr>
          <w:rFonts w:ascii="Arial" w:cs="Arial" w:eastAsia="Arial" w:hAnsi="Arial"/>
          <w:sz w:val="20"/>
          <w:szCs w:val="20"/>
        </w:rPr>
        <w:t xml:space="preserve">Rédacteur : Délégué à la protection des données</w:t>
      </w:r>
    </w:p>
    <w:p>
      <w:pPr>
        <w:spacing w:after="120" w:line="276"/>
        <w:jc w:val="center"/>
      </w:pPr>
      <w:r>
        <w:rPr>
          <w:rFonts w:ascii="Arial" w:cs="Arial" w:eastAsia="Arial" w:hAnsi="Arial"/>
          <w:sz w:val="20"/>
          <w:szCs w:val="20"/>
        </w:rPr>
        <w:t xml:space="preserve">Validation : Direction générale</w:t>
      </w:r>
    </w:p>
    <w:p>
      <w:pPr>
        <w:spacing w:after="900" w:line="276"/>
        <w:jc w:val="center"/>
      </w:pPr>
      <w:r>
        <w:rPr>
          <w:rFonts w:ascii="Arial" w:cs="Arial" w:eastAsia="Arial" w:hAnsi="Arial"/>
          <w:sz w:val="20"/>
          <w:szCs w:val="20"/>
        </w:rPr>
        <w:t xml:space="preserve">Revue : annuelle</w:t>
      </w:r>
    </w:p>
    <w:p>
      <w:pPr>
        <w:spacing w:after="120" w:line="276"/>
        <w:jc w:val="center"/>
      </w:pPr>
      <w:r>
        <w:rPr>
          <w:rFonts w:ascii="Arial" w:cs="Arial" w:eastAsia="Arial" w:hAnsi="Arial"/>
          <w:i/>
          <w:iCs/>
          <w:color w:val="808080"/>
          <w:sz w:val="18"/>
          <w:szCs w:val="18"/>
        </w:rPr>
        <w:t xml:space="preserve">Document interne. Diffusion restreinte aux personnels concernés par la mise en œuvre des traitements.</w:t>
      </w:r>
    </w:p>
    <w:p>
      <w:r>
        <w:br w:type="page"/>
      </w:r>
    </w:p>
    <w:p>
      <w:pPr>
        <w:pStyle w:val="Heading1"/>
        <w:spacing w:after="160" w:before="320"/>
      </w:pPr>
      <w:r>
        <w:rPr>
          <w:rFonts w:ascii="Arial" w:cs="Arial" w:eastAsia="Arial" w:hAnsi="Arial"/>
          <w:b/>
          <w:bCs/>
          <w:color w:val="1F3864"/>
          <w:sz w:val="28"/>
          <w:szCs w:val="28"/>
        </w:rPr>
        <w:t xml:space="preserve">1. Objet et cadre juridique</w:t>
      </w:r>
    </w:p>
    <w:p>
      <w:pPr>
        <w:spacing w:after="120" w:line="276"/>
      </w:pPr>
      <w:r>
        <w:rPr>
          <w:rFonts w:ascii="Arial" w:cs="Arial" w:eastAsia="Arial" w:hAnsi="Arial"/>
          <w:sz w:val="20"/>
          <w:szCs w:val="20"/>
        </w:rPr>
        <w:t xml:space="preserve">La présente politique définit les règles de conservation et de suppression des données à caractère personnel traitées par PHARMAFY SAS, quel que soit le support ou le système d'information concerné.</w:t>
      </w:r>
    </w:p>
    <w:p>
      <w:pPr>
        <w:spacing w:after="120" w:line="276"/>
      </w:pPr>
      <w:r>
        <w:rPr>
          <w:rFonts w:ascii="Arial" w:cs="Arial" w:eastAsia="Arial" w:hAnsi="Arial"/>
          <w:sz w:val="20"/>
          <w:szCs w:val="20"/>
        </w:rPr>
        <w:t xml:space="preserve">Elle met en œuvre le principe de limitation de la conservation posé par l'article 5.1.e du Règlement (UE) 2016/679, selon lequel les données ne peuvent être conservées sous une forme permettant l'identification des personnes au-delà de la durée nécessaire à la finalité poursuivie.</w:t>
      </w:r>
    </w:p>
    <w:p>
      <w:pPr>
        <w:spacing w:after="120" w:line="276"/>
      </w:pPr>
      <w:r>
        <w:rPr>
          <w:rFonts w:ascii="Arial" w:cs="Arial" w:eastAsia="Arial" w:hAnsi="Arial"/>
          <w:sz w:val="20"/>
          <w:szCs w:val="20"/>
        </w:rPr>
        <w:t xml:space="preserve">Elle constitue également un élément de la démonstration de conformité exigée par le principe de responsabilité (article 5.2 du RGPD). Une durée qui n'est ni documentée ni appliquée de manière traçable ne peut être opposée à l'autorité de contrôle.</w:t>
      </w:r>
    </w:p>
    <w:p>
      <w:pPr>
        <w:pStyle w:val="Heading2"/>
        <w:spacing w:after="120" w:before="220"/>
      </w:pPr>
      <w:r>
        <w:rPr>
          <w:rFonts w:ascii="Arial" w:cs="Arial" w:eastAsia="Arial" w:hAnsi="Arial"/>
          <w:b/>
          <w:bCs/>
          <w:color w:val="2E5B9A"/>
          <w:sz w:val="22"/>
          <w:szCs w:val="22"/>
        </w:rPr>
        <w:t xml:space="preserve">Textes de référence</w:t>
      </w:r>
    </w:p>
    <w:p>
      <w:pPr>
        <w:pStyle w:val="ListParagraph"/>
        <w:numPr>
          <w:ilvl w:val="0"/>
          <w:numId w:val="2"/>
        </w:numPr>
        <w:spacing w:after="80" w:line="276"/>
      </w:pPr>
      <w:r>
        <w:rPr>
          <w:rFonts w:ascii="Arial" w:cs="Arial" w:eastAsia="Arial" w:hAnsi="Arial"/>
          <w:sz w:val="20"/>
          <w:szCs w:val="20"/>
        </w:rPr>
        <w:t xml:space="preserve">Règlement (UE) 2016/679 du 27 avril 2016 (RGPD), notamment ses articles 5, 17 et 30.</w:t>
      </w:r>
    </w:p>
    <w:p>
      <w:pPr>
        <w:pStyle w:val="ListParagraph"/>
        <w:numPr>
          <w:ilvl w:val="0"/>
          <w:numId w:val="2"/>
        </w:numPr>
        <w:spacing w:after="80" w:line="276"/>
      </w:pPr>
      <w:r>
        <w:rPr>
          <w:rFonts w:ascii="Arial" w:cs="Arial" w:eastAsia="Arial" w:hAnsi="Arial"/>
          <w:sz w:val="20"/>
          <w:szCs w:val="20"/>
        </w:rPr>
        <w:t xml:space="preserve">Loi n° 78-17 du 6 janvier 1978 modifiée, relative à l'informatique, aux fichiers et aux libertés.</w:t>
      </w:r>
    </w:p>
    <w:p>
      <w:pPr>
        <w:pStyle w:val="ListParagraph"/>
        <w:numPr>
          <w:ilvl w:val="0"/>
          <w:numId w:val="2"/>
        </w:numPr>
        <w:spacing w:after="80" w:line="276"/>
      </w:pPr>
      <w:r>
        <w:rPr>
          <w:rFonts w:ascii="Arial" w:cs="Arial" w:eastAsia="Arial" w:hAnsi="Arial"/>
          <w:sz w:val="20"/>
          <w:szCs w:val="20"/>
        </w:rPr>
        <w:t xml:space="preserve">Code du travail, Code de commerce et Code de la sécurité sociale, pour les durées légales de conservation.</w:t>
      </w:r>
    </w:p>
    <w:p>
      <w:pPr>
        <w:pStyle w:val="ListParagraph"/>
        <w:numPr>
          <w:ilvl w:val="0"/>
          <w:numId w:val="2"/>
        </w:numPr>
        <w:spacing w:after="80" w:line="276"/>
      </w:pPr>
      <w:r>
        <w:rPr>
          <w:rFonts w:ascii="Arial" w:cs="Arial" w:eastAsia="Arial" w:hAnsi="Arial"/>
          <w:sz w:val="20"/>
          <w:szCs w:val="20"/>
        </w:rPr>
        <w:t xml:space="preserve">Référentiels et recommandations de la CNIL applicables aux traitements concernés.</w:t>
      </w:r>
    </w:p>
    <w:p>
      <w:pPr>
        <w:pStyle w:val="Heading1"/>
        <w:spacing w:after="160" w:before="320"/>
      </w:pPr>
      <w:r>
        <w:rPr>
          <w:rFonts w:ascii="Arial" w:cs="Arial" w:eastAsia="Arial" w:hAnsi="Arial"/>
          <w:b/>
          <w:bCs/>
          <w:color w:val="1F3864"/>
          <w:sz w:val="28"/>
          <w:szCs w:val="28"/>
        </w:rPr>
        <w:t xml:space="preserve">2. Périmètre</w:t>
      </w:r>
    </w:p>
    <w:p>
      <w:pPr>
        <w:spacing w:after="120" w:line="276"/>
      </w:pPr>
      <w:r>
        <w:rPr>
          <w:rFonts w:ascii="Arial" w:cs="Arial" w:eastAsia="Arial" w:hAnsi="Arial"/>
          <w:sz w:val="20"/>
          <w:szCs w:val="20"/>
        </w:rPr>
        <w:t xml:space="preserve">La présente politique s'applique à l'ensemble des traitements recensés au registre des activités de traitement de PHARMAFY SAS, dans ses deux volets : les traitements pour lesquels l'organisation agit en qualité de responsable de traitement, et ceux réalisés pour le compte d'un client en qualité de sous-traitant.</w:t>
      </w:r>
    </w:p>
    <w:p>
      <w:pPr>
        <w:spacing w:after="120" w:line="276"/>
      </w:pPr>
      <w:r>
        <w:rPr>
          <w:rFonts w:ascii="Arial" w:cs="Arial" w:eastAsia="Arial" w:hAnsi="Arial"/>
          <w:sz w:val="20"/>
          <w:szCs w:val="20"/>
        </w:rPr>
        <w:t xml:space="preserve">Elle s'impose à l'ensemble des salariés, alternants, stagiaires et prestataires ayant accès à des données à caractère personnel dans le cadre de leurs fonctions.</w:t>
      </w:r>
    </w:p>
    <w:p>
      <w:pPr>
        <w:spacing w:after="120" w:line="276"/>
      </w:pPr>
      <w:r>
        <w:rPr>
          <w:rFonts w:ascii="Arial" w:cs="Arial" w:eastAsia="Arial" w:hAnsi="Arial"/>
          <w:i/>
          <w:iCs/>
          <w:sz w:val="20"/>
          <w:szCs w:val="20"/>
        </w:rPr>
        <w:t xml:space="preserve">Pour les traitements exercés en qualité de sous-traitant, les durées de conservation sont déterminées par le responsable de traitement donneur d'ordre. PHARMAFY SAS applique ses instructions documentées et procède à la restitution ou à la suppression des données au terme du contrat, selon l'option retenue par ce dernier.</w:t>
      </w:r>
    </w:p>
    <w:p>
      <w:pPr>
        <w:pStyle w:val="Heading1"/>
        <w:spacing w:after="160" w:before="320"/>
      </w:pPr>
      <w:r>
        <w:rPr>
          <w:rFonts w:ascii="Arial" w:cs="Arial" w:eastAsia="Arial" w:hAnsi="Arial"/>
          <w:b/>
          <w:bCs/>
          <w:color w:val="1F3864"/>
          <w:sz w:val="28"/>
          <w:szCs w:val="28"/>
        </w:rPr>
        <w:t xml:space="preserve">3. Le cycle de vie de la donnée</w:t>
      </w:r>
    </w:p>
    <w:p>
      <w:pPr>
        <w:spacing w:after="120" w:line="276"/>
      </w:pPr>
      <w:r>
        <w:rPr>
          <w:rFonts w:ascii="Arial" w:cs="Arial" w:eastAsia="Arial" w:hAnsi="Arial"/>
          <w:sz w:val="20"/>
          <w:szCs w:val="20"/>
        </w:rPr>
        <w:t xml:space="preserve">Toute donnée à caractère personnel suit un cycle en trois phases. Cette distinction structure l'ensemble des durées définies au chapitre 5.</w:t>
      </w:r>
    </w:p>
    <w:p>
      <w:pPr>
        <w:pStyle w:val="Heading2"/>
        <w:spacing w:after="120" w:before="220"/>
      </w:pPr>
      <w:r>
        <w:rPr>
          <w:rFonts w:ascii="Arial" w:cs="Arial" w:eastAsia="Arial" w:hAnsi="Arial"/>
          <w:b/>
          <w:bCs/>
          <w:color w:val="2E5B9A"/>
          <w:sz w:val="22"/>
          <w:szCs w:val="22"/>
        </w:rPr>
        <w:t xml:space="preserve">3.1 La base active</w:t>
      </w:r>
    </w:p>
    <w:p>
      <w:pPr>
        <w:spacing w:after="120" w:line="276"/>
      </w:pPr>
      <w:r>
        <w:rPr>
          <w:rFonts w:ascii="Arial" w:cs="Arial" w:eastAsia="Arial" w:hAnsi="Arial"/>
          <w:sz w:val="20"/>
          <w:szCs w:val="20"/>
        </w:rPr>
        <w:t xml:space="preserve">La donnée est utilisée couramment par les services opérationnels pour la finalité qui a justifié sa collecte. Elle est accessible aux personnes habilitées dans le cadre de leurs fonctions.</w:t>
      </w:r>
    </w:p>
    <w:p>
      <w:pPr>
        <w:pStyle w:val="Heading2"/>
        <w:spacing w:after="120" w:before="220"/>
      </w:pPr>
      <w:r>
        <w:rPr>
          <w:rFonts w:ascii="Arial" w:cs="Arial" w:eastAsia="Arial" w:hAnsi="Arial"/>
          <w:b/>
          <w:bCs/>
          <w:color w:val="2E5B9A"/>
          <w:sz w:val="22"/>
          <w:szCs w:val="22"/>
        </w:rPr>
        <w:t xml:space="preserve">3.2 L'archivage intermédiaire</w:t>
      </w:r>
    </w:p>
    <w:p>
      <w:pPr>
        <w:spacing w:after="120" w:line="276"/>
      </w:pPr>
      <w:r>
        <w:rPr>
          <w:rFonts w:ascii="Arial" w:cs="Arial" w:eastAsia="Arial" w:hAnsi="Arial"/>
          <w:sz w:val="20"/>
          <w:szCs w:val="20"/>
        </w:rPr>
        <w:t xml:space="preserve">La finalité initiale est atteinte, mais la donnée doit être conservée pour répondre à une obligation légale, à un délai de prescription ou à un besoin probatoire. Elle quitte alors la base active : l'accès est restreint aux seules personnes ayant un intérêt à en connaître, sur demande motivée et de manière tracée.</w:t>
      </w:r>
    </w:p>
    <w:p>
      <w:pPr>
        <w:spacing w:after="120" w:line="276"/>
      </w:pPr>
      <w:r>
        <w:rPr>
          <w:rFonts w:ascii="Arial" w:cs="Arial" w:eastAsia="Arial" w:hAnsi="Arial"/>
          <w:i/>
          <w:iCs/>
          <w:sz w:val="20"/>
          <w:szCs w:val="20"/>
        </w:rPr>
        <w:t xml:space="preserve">Cette phase est fréquemment négligée. Conserver une donnée en base active au motif qu'une obligation légale impose de la garder constitue un écart : l'obligation porte sur la conservation, non sur l'accessibilité courante.</w:t>
      </w:r>
    </w:p>
    <w:p>
      <w:pPr>
        <w:pStyle w:val="Heading2"/>
        <w:spacing w:after="120" w:before="220"/>
      </w:pPr>
      <w:r>
        <w:rPr>
          <w:rFonts w:ascii="Arial" w:cs="Arial" w:eastAsia="Arial" w:hAnsi="Arial"/>
          <w:b/>
          <w:bCs/>
          <w:color w:val="2E5B9A"/>
          <w:sz w:val="22"/>
          <w:szCs w:val="22"/>
        </w:rPr>
        <w:t xml:space="preserve">3.3 Le sort final</w:t>
      </w:r>
    </w:p>
    <w:p>
      <w:pPr>
        <w:spacing w:after="120" w:line="276"/>
      </w:pPr>
      <w:r>
        <w:rPr>
          <w:rFonts w:ascii="Arial" w:cs="Arial" w:eastAsia="Arial" w:hAnsi="Arial"/>
          <w:sz w:val="20"/>
          <w:szCs w:val="20"/>
        </w:rPr>
        <w:t xml:space="preserve">Au terme de l'archivage intermédiaire, la donnée fait l'objet soit d'une suppression définitive, soit d'un archivage définitif lorsqu'un intérêt public l'exige, soit d'une anonymisation irréversible. L'anonymisation fait sortir la donnée du champ du RGPD, à la condition que la réidentification soit impossible par tout moyen raisonnable.</w:t>
      </w:r>
    </w:p>
    <w:p>
      <w:r>
        <w:br w:type="page"/>
      </w:r>
    </w:p>
    <w:p>
      <w:pPr>
        <w:pStyle w:val="Heading1"/>
        <w:spacing w:after="160" w:before="320"/>
      </w:pPr>
      <w:r>
        <w:rPr>
          <w:rFonts w:ascii="Arial" w:cs="Arial" w:eastAsia="Arial" w:hAnsi="Arial"/>
          <w:b/>
          <w:bCs/>
          <w:color w:val="1F3864"/>
          <w:sz w:val="28"/>
          <w:szCs w:val="28"/>
        </w:rPr>
        <w:t xml:space="preserve">4. Règles générales</w:t>
      </w:r>
    </w:p>
    <w:p>
      <w:pPr>
        <w:pStyle w:val="Heading2"/>
        <w:spacing w:after="120" w:before="220"/>
      </w:pPr>
      <w:r>
        <w:rPr>
          <w:rFonts w:ascii="Arial" w:cs="Arial" w:eastAsia="Arial" w:hAnsi="Arial"/>
          <w:b/>
          <w:bCs/>
          <w:color w:val="2E5B9A"/>
          <w:sz w:val="22"/>
          <w:szCs w:val="22"/>
        </w:rPr>
        <w:t xml:space="preserve">4.1 Détermination des durées</w:t>
      </w:r>
    </w:p>
    <w:p>
      <w:pPr>
        <w:spacing w:after="120" w:line="276"/>
      </w:pPr>
      <w:r>
        <w:rPr>
          <w:rFonts w:ascii="Arial" w:cs="Arial" w:eastAsia="Arial" w:hAnsi="Arial"/>
          <w:sz w:val="20"/>
          <w:szCs w:val="20"/>
        </w:rPr>
        <w:t xml:space="preserve">Toute durée de conservation est fixée selon l'ordre de priorité suivant :</w:t>
      </w:r>
    </w:p>
    <w:p>
      <w:pPr>
        <w:pStyle w:val="ListParagraph"/>
        <w:numPr>
          <w:ilvl w:val="0"/>
          <w:numId w:val="2"/>
        </w:numPr>
        <w:spacing w:after="80" w:line="276"/>
      </w:pPr>
      <w:r>
        <w:rPr>
          <w:rFonts w:ascii="Arial" w:cs="Arial" w:eastAsia="Arial" w:hAnsi="Arial"/>
          <w:sz w:val="20"/>
          <w:szCs w:val="20"/>
        </w:rPr>
        <w:t xml:space="preserve">La durée imposée par un texte légal ou réglementaire, lorsqu'elle existe. Elle s'impose et ne peut être réduite.</w:t>
      </w:r>
    </w:p>
    <w:p>
      <w:pPr>
        <w:pStyle w:val="ListParagraph"/>
        <w:numPr>
          <w:ilvl w:val="0"/>
          <w:numId w:val="2"/>
        </w:numPr>
        <w:spacing w:after="80" w:line="276"/>
      </w:pPr>
      <w:r>
        <w:rPr>
          <w:rFonts w:ascii="Arial" w:cs="Arial" w:eastAsia="Arial" w:hAnsi="Arial"/>
          <w:sz w:val="20"/>
          <w:szCs w:val="20"/>
        </w:rPr>
        <w:t xml:space="preserve">À défaut, la durée correspondant au délai de prescription applicable au risque contentieux identifié.</w:t>
      </w:r>
    </w:p>
    <w:p>
      <w:pPr>
        <w:pStyle w:val="ListParagraph"/>
        <w:numPr>
          <w:ilvl w:val="0"/>
          <w:numId w:val="2"/>
        </w:numPr>
        <w:spacing w:after="80" w:line="276"/>
      </w:pPr>
      <w:r>
        <w:rPr>
          <w:rFonts w:ascii="Arial" w:cs="Arial" w:eastAsia="Arial" w:hAnsi="Arial"/>
          <w:sz w:val="20"/>
          <w:szCs w:val="20"/>
        </w:rPr>
        <w:t xml:space="preserve">À défaut, une durée déterminée par le responsable du traitement au regard de la finalité, justifiée par écrit et validée par le DPO.</w:t>
      </w:r>
    </w:p>
    <w:p>
      <w:pPr>
        <w:spacing w:after="120" w:line="276"/>
      </w:pPr>
      <w:r>
        <w:rPr>
          <w:rFonts w:ascii="Arial" w:cs="Arial" w:eastAsia="Arial" w:hAnsi="Arial"/>
          <w:sz w:val="20"/>
          <w:szCs w:val="20"/>
        </w:rPr>
        <w:t xml:space="preserve">Toute durée doit être exprimée de manière chiffrée et assortie de son point de départ. Les formulations indéterminées telles que « le temps nécessaire » ou « selon les besoins du service » sont proscrites.</w:t>
      </w:r>
    </w:p>
    <w:p>
      <w:pPr>
        <w:pStyle w:val="Heading2"/>
        <w:spacing w:after="120" w:before="220"/>
      </w:pPr>
      <w:r>
        <w:rPr>
          <w:rFonts w:ascii="Arial" w:cs="Arial" w:eastAsia="Arial" w:hAnsi="Arial"/>
          <w:b/>
          <w:bCs/>
          <w:color w:val="2E5B9A"/>
          <w:sz w:val="22"/>
          <w:szCs w:val="22"/>
        </w:rPr>
        <w:t xml:space="preserve">4.2 Point de départ</w:t>
      </w:r>
    </w:p>
    <w:p>
      <w:pPr>
        <w:spacing w:after="120" w:line="276"/>
      </w:pPr>
      <w:r>
        <w:rPr>
          <w:rFonts w:ascii="Arial" w:cs="Arial" w:eastAsia="Arial" w:hAnsi="Arial"/>
          <w:sz w:val="20"/>
          <w:szCs w:val="20"/>
        </w:rPr>
        <w:t xml:space="preserve">Le point de départ du décompte est défini pour chaque traitement au chapitre 5. Il correspond selon les cas à la date de collecte, à la date du dernier contact avec la personne concernée, à la fin de la relation contractuelle ou à la clôture de l'exercice comptable.</w:t>
      </w:r>
    </w:p>
    <w:p>
      <w:pPr>
        <w:pStyle w:val="Heading2"/>
        <w:spacing w:after="120" w:before="220"/>
      </w:pPr>
      <w:r>
        <w:rPr>
          <w:rFonts w:ascii="Arial" w:cs="Arial" w:eastAsia="Arial" w:hAnsi="Arial"/>
          <w:b/>
          <w:bCs/>
          <w:color w:val="2E5B9A"/>
          <w:sz w:val="22"/>
          <w:szCs w:val="22"/>
        </w:rPr>
        <w:t xml:space="preserve">4.3 Suppression</w:t>
      </w:r>
    </w:p>
    <w:p>
      <w:pPr>
        <w:spacing w:after="120" w:line="276"/>
      </w:pPr>
      <w:r>
        <w:rPr>
          <w:rFonts w:ascii="Arial" w:cs="Arial" w:eastAsia="Arial" w:hAnsi="Arial"/>
          <w:sz w:val="20"/>
          <w:szCs w:val="20"/>
        </w:rPr>
        <w:t xml:space="preserve">La suppression porte sur l'ensemble des occurrences de la donnée : bases de production, environnements de test, exports, copies locales, messageries et sauvegardes.</w:t>
      </w:r>
    </w:p>
    <w:p>
      <w:pPr>
        <w:spacing w:after="120" w:line="276"/>
      </w:pPr>
      <w:r>
        <w:rPr>
          <w:rFonts w:ascii="Arial" w:cs="Arial" w:eastAsia="Arial" w:hAnsi="Arial"/>
          <w:sz w:val="20"/>
          <w:szCs w:val="20"/>
        </w:rPr>
        <w:t xml:space="preserve">Le cas des sauvegardes appelle une précision. Une donnée supprimée en production demeure présente dans les jeux de sauvegarde jusqu'à leur rotation. PHARMAFY SAS applique une rotation des sauvegardes sur douze mois glissants ; la suppression y est donc effective au terme de ce cycle, sans réinjection possible de la donnée supprimée en cas de restauration.</w:t>
      </w:r>
    </w:p>
    <w:p>
      <w:pPr>
        <w:pStyle w:val="Heading2"/>
        <w:spacing w:after="120" w:before="220"/>
      </w:pPr>
      <w:r>
        <w:rPr>
          <w:rFonts w:ascii="Arial" w:cs="Arial" w:eastAsia="Arial" w:hAnsi="Arial"/>
          <w:b/>
          <w:bCs/>
          <w:color w:val="2E5B9A"/>
          <w:sz w:val="22"/>
          <w:szCs w:val="22"/>
        </w:rPr>
        <w:t xml:space="preserve">4.4 Traçabilité</w:t>
      </w:r>
    </w:p>
    <w:p>
      <w:pPr>
        <w:spacing w:after="120" w:line="276"/>
      </w:pPr>
      <w:r>
        <w:rPr>
          <w:rFonts w:ascii="Arial" w:cs="Arial" w:eastAsia="Arial" w:hAnsi="Arial"/>
          <w:sz w:val="20"/>
          <w:szCs w:val="20"/>
        </w:rPr>
        <w:t xml:space="preserve">Chaque campagne de purge donne lieu à un procès-verbal mentionnant la date, le périmètre, le volume traité et la personne responsable de l'opération. Ces procès-verbaux sont conservés trois ans et constituent la preuve d'application de la présente politique.</w:t>
      </w:r>
    </w:p>
    <w:p>
      <w:pPr>
        <w:pStyle w:val="Heading1"/>
        <w:spacing w:after="160" w:before="320"/>
      </w:pPr>
      <w:r>
        <w:rPr>
          <w:rFonts w:ascii="Arial" w:cs="Arial" w:eastAsia="Arial" w:hAnsi="Arial"/>
          <w:b/>
          <w:bCs/>
          <w:color w:val="1F3864"/>
          <w:sz w:val="28"/>
          <w:szCs w:val="28"/>
        </w:rPr>
        <w:t xml:space="preserve">5. Durées de conservation par traitement</w:t>
      </w:r>
    </w:p>
    <w:p>
      <w:pPr>
        <w:spacing w:after="120" w:line="276"/>
      </w:pPr>
      <w:r>
        <w:rPr>
          <w:rFonts w:ascii="Arial" w:cs="Arial" w:eastAsia="Arial" w:hAnsi="Arial"/>
          <w:sz w:val="20"/>
          <w:szCs w:val="20"/>
        </w:rPr>
        <w:t xml:space="preserve">Les références figurant en première colonne renvoient au registre des activités de traitement de PHARMAFY SAS.</w:t>
      </w:r>
    </w:p>
    <w:p>
      <w:pPr>
        <w:pStyle w:val="Heading2"/>
        <w:spacing w:after="120" w:before="220"/>
      </w:pPr>
      <w:r>
        <w:rPr>
          <w:rFonts w:ascii="Arial" w:cs="Arial" w:eastAsia="Arial" w:hAnsi="Arial"/>
          <w:b/>
          <w:bCs/>
          <w:color w:val="2E5B9A"/>
          <w:sz w:val="22"/>
          <w:szCs w:val="22"/>
        </w:rPr>
        <w:t xml:space="preserve">5.1 Ressources humaines</w:t>
      </w:r>
    </w:p>
    <w:tbl>
      <w:tblPr>
        <w:tblW w:type="dxa" w:w="9800"/>
        <w:tblBorders>
          <w:top w:val="single" w:color="BFBFBF" w:sz="4"/>
          <w:left w:val="single" w:color="BFBFBF" w:sz="4"/>
          <w:bottom w:val="single" w:color="BFBFBF" w:sz="4"/>
          <w:right w:val="single" w:color="BFBFBF" w:sz="4"/>
          <w:insideH w:val="single" w:color="D9D9D9" w:sz="4"/>
          <w:insideV w:val="single" w:color="D9D9D9" w:sz="4"/>
        </w:tblBorders>
      </w:tblPr>
      <w:tblGrid>
        <w:gridCol w:w="1300"/>
        <w:gridCol w:w="2500"/>
        <w:gridCol w:w="2300"/>
        <w:gridCol w:w="2300"/>
        <w:gridCol w:w="1400"/>
      </w:tblGrid>
      <w:tr>
        <w:trPr>
          <w:tblHeader/>
        </w:trPr>
        <w:tc>
          <w:tcPr>
            <w:tcW w:type="dxa" w:w="13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Réf.</w:t>
            </w:r>
          </w:p>
        </w:tc>
        <w:tc>
          <w:tcPr>
            <w:tcW w:type="dxa" w:w="25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Traitement</w:t>
            </w:r>
          </w:p>
        </w:tc>
        <w:tc>
          <w:tcPr>
            <w:tcW w:type="dxa" w:w="23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Base active</w:t>
            </w:r>
          </w:p>
        </w:tc>
        <w:tc>
          <w:tcPr>
            <w:tcW w:type="dxa" w:w="23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Archivage intermédiaire</w:t>
            </w:r>
          </w:p>
        </w:tc>
        <w:tc>
          <w:tcPr>
            <w:tcW w:type="dxa" w:w="14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Sort final</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RT-01</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Bulletins de paie</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Durée du contrat de travail</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 ans après le départ du salarié (art. L3243-4 C. trav.)</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RT-01</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Livre de paie</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Année en cours</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50 ans</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RT-01</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Déclarations sociales (DSN)</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Exercice en cours</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 ans</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RT-02</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Candidatures non retenues</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Durée du processus de recrutement</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 ans après le dernier contact</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RT-02</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Candidatures retenues</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Basculement au dossier du salarié</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Voir dossier individuel</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Sans objet</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Dossier individuel du salarié</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Durée du contrat</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 ans après le départ</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bl>
    <w:p>
      <w:pPr>
        <w:spacing w:after="200" w:line="276"/>
      </w:pPr>
      <w:r>
        <w:rPr>
          <w:rFonts w:ascii="Arial" w:cs="Arial" w:eastAsia="Arial" w:hAnsi="Arial"/>
          <w:sz w:val="20"/>
          <w:szCs w:val="20"/>
        </w:rPr>
        <w:t xml:space="preserve"/>
      </w:r>
    </w:p>
    <w:p>
      <w:pPr>
        <w:pStyle w:val="Heading2"/>
        <w:spacing w:after="120" w:before="220"/>
      </w:pPr>
      <w:r>
        <w:rPr>
          <w:rFonts w:ascii="Arial" w:cs="Arial" w:eastAsia="Arial" w:hAnsi="Arial"/>
          <w:b/>
          <w:bCs/>
          <w:color w:val="2E5B9A"/>
          <w:sz w:val="22"/>
          <w:szCs w:val="22"/>
        </w:rPr>
        <w:t xml:space="preserve">5.2 Relation commerciale</w:t>
      </w:r>
    </w:p>
    <w:tbl>
      <w:tblPr>
        <w:tblW w:type="dxa" w:w="9800"/>
        <w:tblBorders>
          <w:top w:val="single" w:color="BFBFBF" w:sz="4"/>
          <w:left w:val="single" w:color="BFBFBF" w:sz="4"/>
          <w:bottom w:val="single" w:color="BFBFBF" w:sz="4"/>
          <w:right w:val="single" w:color="BFBFBF" w:sz="4"/>
          <w:insideH w:val="single" w:color="D9D9D9" w:sz="4"/>
          <w:insideV w:val="single" w:color="D9D9D9" w:sz="4"/>
        </w:tblBorders>
      </w:tblPr>
      <w:tblGrid>
        <w:gridCol w:w="1300"/>
        <w:gridCol w:w="2500"/>
        <w:gridCol w:w="2300"/>
        <w:gridCol w:w="2300"/>
        <w:gridCol w:w="1400"/>
      </w:tblGrid>
      <w:tr>
        <w:trPr>
          <w:tblHeader/>
        </w:trPr>
        <w:tc>
          <w:tcPr>
            <w:tcW w:type="dxa" w:w="13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Réf.</w:t>
            </w:r>
          </w:p>
        </w:tc>
        <w:tc>
          <w:tcPr>
            <w:tcW w:type="dxa" w:w="25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Traitement</w:t>
            </w:r>
          </w:p>
        </w:tc>
        <w:tc>
          <w:tcPr>
            <w:tcW w:type="dxa" w:w="23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Base active</w:t>
            </w:r>
          </w:p>
        </w:tc>
        <w:tc>
          <w:tcPr>
            <w:tcW w:type="dxa" w:w="23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Archivage intermédiaire</w:t>
            </w:r>
          </w:p>
        </w:tc>
        <w:tc>
          <w:tcPr>
            <w:tcW w:type="dxa" w:w="14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Sort final</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RT-03</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Compte client officine</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Durée de la relation contractuelle</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5 ans après le terme du contrat (prescription commerciale, art. L110-4 C. com.)</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RT-03</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Factures et pièces comptables</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Exercice en cours</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10 ans (art. L123-22 C. com.)</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RT-04</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Fiche prospect</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Jusqu'au dernier contact émanant du prospect</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3 ans après ce dernier contact</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RT-04</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Preuve d'opposition à la prospection</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Sans objet</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3 ans</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bl>
    <w:p>
      <w:pPr>
        <w:spacing w:after="200" w:line="276"/>
      </w:pPr>
      <w:r>
        <w:rPr>
          <w:rFonts w:ascii="Arial" w:cs="Arial" w:eastAsia="Arial" w:hAnsi="Arial"/>
          <w:sz w:val="20"/>
          <w:szCs w:val="20"/>
        </w:rPr>
        <w:t xml:space="preserve"/>
      </w:r>
    </w:p>
    <w:p>
      <w:pPr>
        <w:pStyle w:val="Heading2"/>
        <w:spacing w:after="120" w:before="220"/>
      </w:pPr>
      <w:r>
        <w:rPr>
          <w:rFonts w:ascii="Arial" w:cs="Arial" w:eastAsia="Arial" w:hAnsi="Arial"/>
          <w:b/>
          <w:bCs/>
          <w:color w:val="2E5B9A"/>
          <w:sz w:val="22"/>
          <w:szCs w:val="22"/>
        </w:rPr>
        <w:t xml:space="preserve">5.3 Sécurité et systèmes d'information</w:t>
      </w:r>
    </w:p>
    <w:tbl>
      <w:tblPr>
        <w:tblW w:type="dxa" w:w="9800"/>
        <w:tblBorders>
          <w:top w:val="single" w:color="BFBFBF" w:sz="4"/>
          <w:left w:val="single" w:color="BFBFBF" w:sz="4"/>
          <w:bottom w:val="single" w:color="BFBFBF" w:sz="4"/>
          <w:right w:val="single" w:color="BFBFBF" w:sz="4"/>
          <w:insideH w:val="single" w:color="D9D9D9" w:sz="4"/>
          <w:insideV w:val="single" w:color="D9D9D9" w:sz="4"/>
        </w:tblBorders>
      </w:tblPr>
      <w:tblGrid>
        <w:gridCol w:w="1300"/>
        <w:gridCol w:w="2500"/>
        <w:gridCol w:w="2300"/>
        <w:gridCol w:w="2300"/>
        <w:gridCol w:w="1400"/>
      </w:tblGrid>
      <w:tr>
        <w:trPr>
          <w:tblHeader/>
        </w:trPr>
        <w:tc>
          <w:tcPr>
            <w:tcW w:type="dxa" w:w="13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Réf.</w:t>
            </w:r>
          </w:p>
        </w:tc>
        <w:tc>
          <w:tcPr>
            <w:tcW w:type="dxa" w:w="25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Traitement</w:t>
            </w:r>
          </w:p>
        </w:tc>
        <w:tc>
          <w:tcPr>
            <w:tcW w:type="dxa" w:w="23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Base active</w:t>
            </w:r>
          </w:p>
        </w:tc>
        <w:tc>
          <w:tcPr>
            <w:tcW w:type="dxa" w:w="23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Archivage intermédiaire</w:t>
            </w:r>
          </w:p>
        </w:tc>
        <w:tc>
          <w:tcPr>
            <w:tcW w:type="dxa" w:w="14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Sort final</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RT-05</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Images de vidéoprotection</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30 jours glissants</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Aucun, sauf extraction pour procédure</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Écrasement automatique</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RT-06</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Compte utilisateur</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Durée de la présence dans l'organisation</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Désactivation immédiate, suppression sous 24 h</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RT-06</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Journaux de connexion</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6 mois glissants</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Aucun</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RT-07</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Signalement classé sans suite</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Durée de l'instruction</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2 mois après la clôture</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r>
        <w:tc>
          <w:tcPr>
            <w:tcW w:type="dxa" w:w="1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RT-07</w:t>
            </w:r>
          </w:p>
        </w:tc>
        <w:tc>
          <w:tcPr>
            <w:tcW w:type="dxa" w:w="25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Signalement donnant lieu à procédure</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Durée de la procédure</w:t>
            </w:r>
          </w:p>
        </w:tc>
        <w:tc>
          <w:tcPr>
            <w:tcW w:type="dxa" w:w="23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Jusqu'au terme définitif de la procédure</w:t>
            </w:r>
          </w:p>
        </w:tc>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Suppression</w:t>
            </w:r>
          </w:p>
        </w:tc>
      </w:tr>
    </w:tbl>
    <w:p>
      <w:pPr>
        <w:spacing w:after="200" w:line="276"/>
      </w:pPr>
      <w:r>
        <w:rPr>
          <w:rFonts w:ascii="Arial" w:cs="Arial" w:eastAsia="Arial" w:hAnsi="Arial"/>
          <w:sz w:val="20"/>
          <w:szCs w:val="20"/>
        </w:rPr>
        <w:t xml:space="preserve"/>
      </w:r>
    </w:p>
    <w:p>
      <w:r>
        <w:br w:type="page"/>
      </w:r>
    </w:p>
    <w:p>
      <w:pPr>
        <w:pStyle w:val="Heading1"/>
        <w:spacing w:after="160" w:before="320"/>
      </w:pPr>
      <w:r>
        <w:rPr>
          <w:rFonts w:ascii="Arial" w:cs="Arial" w:eastAsia="Arial" w:hAnsi="Arial"/>
          <w:b/>
          <w:bCs/>
          <w:color w:val="1F3864"/>
          <w:sz w:val="28"/>
          <w:szCs w:val="28"/>
        </w:rPr>
        <w:t xml:space="preserve">6. Rôles et responsabilités</w:t>
      </w:r>
    </w:p>
    <w:p>
      <w:pPr>
        <w:spacing w:after="120" w:line="276"/>
      </w:pPr>
      <w:r>
        <w:rPr>
          <w:rFonts w:ascii="Arial" w:cs="Arial" w:eastAsia="Arial" w:hAnsi="Arial"/>
          <w:sz w:val="20"/>
          <w:szCs w:val="20"/>
        </w:rPr>
        <w:t xml:space="preserve">La direction générale valide la présente politique et alloue les moyens nécessaires à son application.</w:t>
      </w:r>
    </w:p>
    <w:p>
      <w:pPr>
        <w:spacing w:after="120" w:line="276"/>
      </w:pPr>
      <w:r>
        <w:rPr>
          <w:rFonts w:ascii="Arial" w:cs="Arial" w:eastAsia="Arial" w:hAnsi="Arial"/>
          <w:sz w:val="20"/>
          <w:szCs w:val="20"/>
        </w:rPr>
        <w:t xml:space="preserve">Le délégué à la protection des données rédige et met à jour la politique, contrôle sa cohérence avec le registre des traitements, et alerte la direction en cas d'écart persistant. Il exerce cette mission en toute indépendance et ne porte pas la responsabilité juridique du traitement, laquelle demeure celle du responsable de traitement.</w:t>
      </w:r>
    </w:p>
    <w:p>
      <w:pPr>
        <w:spacing w:after="120" w:line="276"/>
      </w:pPr>
      <w:r>
        <w:rPr>
          <w:rFonts w:ascii="Arial" w:cs="Arial" w:eastAsia="Arial" w:hAnsi="Arial"/>
          <w:sz w:val="20"/>
          <w:szCs w:val="20"/>
        </w:rPr>
        <w:t xml:space="preserve">Chaque responsable de service est responsable de l'application des durées pour les traitements relevant de son périmètre, et signale au DPO toute création ou modification de traitement.</w:t>
      </w:r>
    </w:p>
    <w:p>
      <w:pPr>
        <w:spacing w:after="120" w:line="276"/>
      </w:pPr>
      <w:r>
        <w:rPr>
          <w:rFonts w:ascii="Arial" w:cs="Arial" w:eastAsia="Arial" w:hAnsi="Arial"/>
          <w:sz w:val="20"/>
          <w:szCs w:val="20"/>
        </w:rPr>
        <w:t xml:space="preserve">La direction des systèmes d'information met en œuvre les mécanismes techniques de purge et fournit les éléments de traçabilité correspondants.</w:t>
      </w:r>
    </w:p>
    <w:p>
      <w:pPr>
        <w:pStyle w:val="Heading1"/>
        <w:spacing w:after="160" w:before="320"/>
      </w:pPr>
      <w:r>
        <w:rPr>
          <w:rFonts w:ascii="Arial" w:cs="Arial" w:eastAsia="Arial" w:hAnsi="Arial"/>
          <w:b/>
          <w:bCs/>
          <w:color w:val="1F3864"/>
          <w:sz w:val="28"/>
          <w:szCs w:val="28"/>
        </w:rPr>
        <w:t xml:space="preserve">7. Contrôle et mise à jour</w:t>
      </w:r>
    </w:p>
    <w:p>
      <w:pPr>
        <w:spacing w:after="120" w:line="276"/>
      </w:pPr>
      <w:r>
        <w:rPr>
          <w:rFonts w:ascii="Arial" w:cs="Arial" w:eastAsia="Arial" w:hAnsi="Arial"/>
          <w:sz w:val="20"/>
          <w:szCs w:val="20"/>
        </w:rPr>
        <w:t xml:space="preserve">Un contrôle annuel vérifie, par sondage sur un échantillon de traitements, que les durées effectivement appliquées correspondent à celles définies par la présente politique. Les écarts constatés font l'objet d'un plan d'action assorti d'un responsable et d'une échéance.</w:t>
      </w:r>
    </w:p>
    <w:p>
      <w:pPr>
        <w:spacing w:after="120" w:line="276"/>
      </w:pPr>
      <w:r>
        <w:rPr>
          <w:rFonts w:ascii="Arial" w:cs="Arial" w:eastAsia="Arial" w:hAnsi="Arial"/>
          <w:sz w:val="20"/>
          <w:szCs w:val="20"/>
        </w:rPr>
        <w:t xml:space="preserve">La politique est revue au minimum une fois par an, et sans délai en cas d'évolution législative, de création d'un traitement nouveau ou de constat d'un écart significatif.</w:t>
      </w:r>
    </w:p>
    <w:p>
      <w:pPr>
        <w:pStyle w:val="Heading2"/>
        <w:spacing w:after="120" w:before="220"/>
      </w:pPr>
      <w:r>
        <w:rPr>
          <w:rFonts w:ascii="Arial" w:cs="Arial" w:eastAsia="Arial" w:hAnsi="Arial"/>
          <w:b/>
          <w:bCs/>
          <w:color w:val="2E5B9A"/>
          <w:sz w:val="22"/>
          <w:szCs w:val="22"/>
        </w:rPr>
        <w:t xml:space="preserve">Indicateurs de suivi</w:t>
      </w:r>
    </w:p>
    <w:p>
      <w:pPr>
        <w:pStyle w:val="ListParagraph"/>
        <w:numPr>
          <w:ilvl w:val="0"/>
          <w:numId w:val="2"/>
        </w:numPr>
        <w:spacing w:after="80" w:line="276"/>
      </w:pPr>
      <w:r>
        <w:rPr>
          <w:rFonts w:ascii="Arial" w:cs="Arial" w:eastAsia="Arial" w:hAnsi="Arial"/>
          <w:sz w:val="20"/>
          <w:szCs w:val="20"/>
        </w:rPr>
        <w:t xml:space="preserve">Taux de traitements du registre couverts par une durée documentée.</w:t>
      </w:r>
    </w:p>
    <w:p>
      <w:pPr>
        <w:pStyle w:val="ListParagraph"/>
        <w:numPr>
          <w:ilvl w:val="0"/>
          <w:numId w:val="2"/>
        </w:numPr>
        <w:spacing w:after="80" w:line="276"/>
      </w:pPr>
      <w:r>
        <w:rPr>
          <w:rFonts w:ascii="Arial" w:cs="Arial" w:eastAsia="Arial" w:hAnsi="Arial"/>
          <w:sz w:val="20"/>
          <w:szCs w:val="20"/>
        </w:rPr>
        <w:t xml:space="preserve">Nombre de campagnes de purge réalisées au regard du nombre planifié.</w:t>
      </w:r>
    </w:p>
    <w:p>
      <w:pPr>
        <w:pStyle w:val="ListParagraph"/>
        <w:numPr>
          <w:ilvl w:val="0"/>
          <w:numId w:val="2"/>
        </w:numPr>
        <w:spacing w:after="80" w:line="276"/>
      </w:pPr>
      <w:r>
        <w:rPr>
          <w:rFonts w:ascii="Arial" w:cs="Arial" w:eastAsia="Arial" w:hAnsi="Arial"/>
          <w:sz w:val="20"/>
          <w:szCs w:val="20"/>
        </w:rPr>
        <w:t xml:space="preserve">Nombre d'écarts relevés lors du contrôle annuel et taux de clôture des plans d'action associés.</w:t>
      </w:r>
    </w:p>
    <w:p>
      <w:pPr>
        <w:pStyle w:val="Heading1"/>
        <w:spacing w:after="160" w:before="320"/>
      </w:pPr>
      <w:r>
        <w:rPr>
          <w:rFonts w:ascii="Arial" w:cs="Arial" w:eastAsia="Arial" w:hAnsi="Arial"/>
          <w:b/>
          <w:bCs/>
          <w:color w:val="1F3864"/>
          <w:sz w:val="28"/>
          <w:szCs w:val="28"/>
        </w:rPr>
        <w:t xml:space="preserve">8. Historique des versions</w:t>
      </w:r>
    </w:p>
    <w:tbl>
      <w:tblPr>
        <w:tblW w:type="dxa" w:w="9800"/>
        <w:tblBorders>
          <w:top w:val="single" w:color="BFBFBF" w:sz="4"/>
          <w:left w:val="single" w:color="BFBFBF" w:sz="4"/>
          <w:bottom w:val="single" w:color="BFBFBF" w:sz="4"/>
          <w:right w:val="single" w:color="BFBFBF" w:sz="4"/>
          <w:insideH w:val="single" w:color="D9D9D9" w:sz="4"/>
          <w:insideV w:val="single" w:color="D9D9D9" w:sz="4"/>
        </w:tblBorders>
      </w:tblPr>
      <w:tblGrid>
        <w:gridCol w:w="1400"/>
        <w:gridCol w:w="1800"/>
        <w:gridCol w:w="2600"/>
        <w:gridCol w:w="4000"/>
      </w:tblGrid>
      <w:tr>
        <w:tc>
          <w:tcPr>
            <w:tcW w:type="dxa" w:w="14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Version</w:t>
            </w:r>
          </w:p>
        </w:tc>
        <w:tc>
          <w:tcPr>
            <w:tcW w:type="dxa" w:w="18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Date</w:t>
            </w:r>
          </w:p>
        </w:tc>
        <w:tc>
          <w:tcPr>
            <w:tcW w:type="dxa" w:w="26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Auteur</w:t>
            </w:r>
          </w:p>
        </w:tc>
        <w:tc>
          <w:tcPr>
            <w:tcW w:type="dxa" w:w="4000"/>
            <w:shd w:fill="1F3864" w:color="auto" w:val="clear"/>
            <w:tcMar>
              <w:top w:type="dxa" w:w="60"/>
              <w:left w:type="dxa" w:w="90"/>
              <w:bottom w:type="dxa" w:w="60"/>
              <w:right w:type="dxa" w:w="90"/>
            </w:tcMar>
          </w:tcPr>
          <w:p>
            <w:pPr>
              <w:spacing w:after="0" w:line="240"/>
            </w:pPr>
            <w:r>
              <w:rPr>
                <w:rFonts w:ascii="Arial" w:cs="Arial" w:eastAsia="Arial" w:hAnsi="Arial"/>
                <w:b/>
                <w:bCs/>
                <w:color w:val="FFFFFF"/>
                <w:sz w:val="17"/>
                <w:szCs w:val="17"/>
              </w:rPr>
              <w:t xml:space="preserve">Nature de la modification</w:t>
            </w:r>
          </w:p>
        </w:tc>
      </w:tr>
      <w:tr>
        <w:tc>
          <w:tcPr>
            <w:tcW w:type="dxa" w:w="14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1.0</w:t>
            </w:r>
          </w:p>
        </w:tc>
        <w:tc>
          <w:tcPr>
            <w:tcW w:type="dxa" w:w="18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11/08/2026</w:t>
            </w:r>
          </w:p>
        </w:tc>
        <w:tc>
          <w:tcPr>
            <w:tcW w:type="dxa" w:w="26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DPO</w:t>
            </w:r>
          </w:p>
        </w:tc>
        <w:tc>
          <w:tcPr>
            <w:tcW w:type="dxa" w:w="4000"/>
            <w:tcMar>
              <w:top w:type="dxa" w:w="60"/>
              <w:left w:type="dxa" w:w="90"/>
              <w:bottom w:type="dxa" w:w="60"/>
              <w:right w:type="dxa" w:w="90"/>
            </w:tcMar>
          </w:tcPr>
          <w:p>
            <w:pPr>
              <w:spacing w:after="0" w:line="240"/>
            </w:pPr>
            <w:r>
              <w:rPr>
                <w:rFonts w:ascii="Arial" w:cs="Arial" w:eastAsia="Arial" w:hAnsi="Arial"/>
                <w:b w:val="false"/>
                <w:bCs w:val="false"/>
                <w:sz w:val="17"/>
                <w:szCs w:val="17"/>
              </w:rPr>
              <w:t xml:space="preserve">Création du document</w:t>
            </w:r>
          </w:p>
        </w:tc>
      </w:tr>
    </w:tbl>
    <w:p>
      <w:pPr>
        <w:spacing w:after="300" w:line="276"/>
      </w:pPr>
      <w:r>
        <w:rPr>
          <w:rFonts w:ascii="Arial" w:cs="Arial" w:eastAsia="Arial" w:hAnsi="Arial"/>
          <w:sz w:val="20"/>
          <w:szCs w:val="20"/>
        </w:rPr>
        <w:t xml:space="preserve"/>
      </w:r>
    </w:p>
    <w:p>
      <w:pPr>
        <w:spacing w:after="120" w:line="276"/>
      </w:pPr>
      <w:r>
        <w:rPr>
          <w:rFonts w:ascii="Arial" w:cs="Arial" w:eastAsia="Arial" w:hAnsi="Arial"/>
          <w:i/>
          <w:iCs/>
          <w:color w:val="808080"/>
          <w:sz w:val="17"/>
          <w:szCs w:val="17"/>
        </w:rPr>
        <w:t xml:space="preserve">Organisation fictive créée à des fins pédagogiques et de démonstration méthodologique. Les traitements et durées sont réalistes et fondés sur les textes en vigueur, mais ne décrivent aucune entreprise existante.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Document interne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jc w:val="right"/>
    </w:pPr>
    <w:r>
      <w:rPr>
        <w:rFonts w:ascii="Arial" w:cs="Arial" w:eastAsia="Arial" w:hAnsi="Arial"/>
        <w:color w:val="808080"/>
        <w:sz w:val="16"/>
        <w:szCs w:val="16"/>
      </w:rPr>
      <w:t xml:space="preserve">PHARMAFY SAS — Politique de conservation des données personnelles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2026-08-11T13:43:51.087Z</dcterms:created>
  <dcterms:modified xsi:type="dcterms:W3CDTF">2026-08-11T13:43:51.101Z</dcterms:modified>
</cp:coreProperties>
</file>

<file path=docProps/custom.xml><?xml version="1.0" encoding="utf-8"?>
<Properties xmlns="http://schemas.openxmlformats.org/officeDocument/2006/custom-properties" xmlns:vt="http://schemas.openxmlformats.org/officeDocument/2006/docPropsVTypes"/>
</file>