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808080"/>
          <w:sz w:val="26"/>
          <w:szCs w:val="26"/>
        </w:rPr>
        <w:t xml:space="preserve">PHARMAFY SAS</w:t>
      </w:r>
    </w:p>
    <w:p>
      <w:pPr>
        <w:spacing w:after="160"/>
        <w:jc w:val="center"/>
      </w:pPr>
      <w:r>
        <w:rPr>
          <w:rFonts w:ascii="Arial" w:cs="Arial" w:eastAsia="Arial" w:hAnsi="Arial"/>
          <w:b/>
          <w:bCs/>
          <w:color w:val="1F3864"/>
          <w:sz w:val="40"/>
          <w:szCs w:val="40"/>
        </w:rPr>
        <w:t xml:space="preserve">APPRÉCIATION DES RISQUES DE SÉCURITÉ DE L'INFORMATION</w:t>
      </w:r>
    </w:p>
    <w:p>
      <w:pPr>
        <w:pBdr>
          <w:top w:val="single" w:color="1F3864" w:sz="8"/>
        </w:pBdr>
        <w:spacing w:after="700"/>
        <w:jc w:val="center"/>
      </w:pPr>
      <w:r>
        <w:rPr>
          <w:rFonts w:ascii="Arial" w:cs="Arial" w:eastAsia="Arial" w:hAnsi="Arial"/>
          <w:sz w:val="20"/>
          <w:szCs w:val="20"/>
        </w:rPr>
        <w:t xml:space="preserve"/>
      </w:r>
    </w:p>
    <w:p>
      <w:pPr>
        <w:spacing w:after="120" w:line="276"/>
        <w:jc w:val="center"/>
      </w:pPr>
      <w:r>
        <w:rPr>
          <w:rFonts w:ascii="Arial" w:cs="Arial" w:eastAsia="Arial" w:hAnsi="Arial"/>
          <w:b/>
          <w:bCs/>
          <w:sz w:val="20"/>
          <w:szCs w:val="20"/>
        </w:rPr>
        <w:t xml:space="preserve">Méthode inspirée de la norme ISO/IEC 27005</w:t>
      </w:r>
    </w:p>
    <w:p>
      <w:pPr>
        <w:spacing w:after="120" w:line="276"/>
        <w:jc w:val="center"/>
      </w:pPr>
      <w:r>
        <w:rPr>
          <w:rFonts w:ascii="Arial" w:cs="Arial" w:eastAsia="Arial" w:hAnsi="Arial"/>
          <w:sz w:val="20"/>
          <w:szCs w:val="20"/>
        </w:rPr>
        <w:t xml:space="preserve">Version 1.0 — 11 août 2026</w:t>
      </w:r>
    </w:p>
    <w:p>
      <w:pPr>
        <w:spacing w:after="120" w:line="276"/>
        <w:jc w:val="center"/>
      </w:pPr>
      <w:r>
        <w:rPr>
          <w:rFonts w:ascii="Arial" w:cs="Arial" w:eastAsia="Arial" w:hAnsi="Arial"/>
          <w:sz w:val="20"/>
          <w:szCs w:val="20"/>
        </w:rPr>
        <w:t xml:space="preserve">Rédacteur : Analyste GRC</w:t>
      </w:r>
    </w:p>
    <w:p>
      <w:pPr>
        <w:spacing w:after="120" w:line="276"/>
        <w:jc w:val="center"/>
      </w:pPr>
      <w:r>
        <w:rPr>
          <w:rFonts w:ascii="Arial" w:cs="Arial" w:eastAsia="Arial" w:hAnsi="Arial"/>
          <w:sz w:val="20"/>
          <w:szCs w:val="20"/>
        </w:rPr>
        <w:t xml:space="preserve">Validation : RSSI et Direction générale</w:t>
      </w:r>
    </w:p>
    <w:p>
      <w:pPr>
        <w:spacing w:after="900" w:line="276"/>
        <w:jc w:val="center"/>
      </w:pPr>
      <w:r>
        <w:rPr>
          <w:rFonts w:ascii="Arial" w:cs="Arial" w:eastAsia="Arial" w:hAnsi="Arial"/>
          <w:sz w:val="20"/>
          <w:szCs w:val="20"/>
        </w:rPr>
        <w:t xml:space="preserve">Revue : annuelle, et à chaque évolution majeure du système d'information</w:t>
      </w:r>
    </w:p>
    <w:p>
      <w:pPr>
        <w:spacing w:after="120" w:line="276"/>
        <w:jc w:val="center"/>
      </w:pPr>
      <w:r>
        <w:rPr>
          <w:rFonts w:ascii="Arial" w:cs="Arial" w:eastAsia="Arial" w:hAnsi="Arial"/>
          <w:i/>
          <w:iCs/>
          <w:color w:val="808080"/>
          <w:sz w:val="18"/>
          <w:szCs w:val="18"/>
        </w:rPr>
        <w:t xml:space="preserve">Document interne. Diffusion restreinte.</w:t>
      </w:r>
    </w:p>
    <w:p>
      <w:r>
        <w:br w:type="page"/>
      </w:r>
    </w:p>
    <w:p>
      <w:pPr>
        <w:pStyle w:val="Heading1"/>
        <w:spacing w:after="160" w:before="320"/>
      </w:pPr>
      <w:r>
        <w:rPr>
          <w:rFonts w:ascii="Arial" w:cs="Arial" w:eastAsia="Arial" w:hAnsi="Arial"/>
          <w:b/>
          <w:bCs/>
          <w:color w:val="1F3864"/>
          <w:sz w:val="28"/>
          <w:szCs w:val="28"/>
        </w:rPr>
        <w:t xml:space="preserve">1. Objet et périmètre</w:t>
      </w:r>
    </w:p>
    <w:p>
      <w:pPr>
        <w:spacing w:after="120" w:line="276"/>
      </w:pPr>
      <w:r>
        <w:rPr>
          <w:rFonts w:ascii="Arial" w:cs="Arial" w:eastAsia="Arial" w:hAnsi="Arial"/>
          <w:sz w:val="20"/>
          <w:szCs w:val="20"/>
        </w:rPr>
        <w:t xml:space="preserve">Le présent document restitue l'appréciation des risques de sécurité de l'information conduite sur le système d'information de PHARMAFY SAS. Il constitue le moteur du système de management de la sécurité de l'information et alimente directement le plan de traitement des risques.</w:t>
      </w:r>
    </w:p>
    <w:p>
      <w:pPr>
        <w:spacing w:after="120" w:line="276"/>
      </w:pPr>
      <w:r>
        <w:rPr>
          <w:rFonts w:ascii="Arial" w:cs="Arial" w:eastAsia="Arial" w:hAnsi="Arial"/>
          <w:sz w:val="20"/>
          <w:szCs w:val="20"/>
        </w:rPr>
        <w:t xml:space="preserve">Le périmètre couvre les activités de répartition pharmaceutique exercées depuis le siège et les deux entrepôts de l'organisation : gestion des stocks et de la traçabilité des lots, prise et préparation de commandes des officines clientes, facturation, et fonctions support (ressources humaines, comptabilité, systèmes d'information).</w:t>
      </w:r>
    </w:p>
    <w:p>
      <w:pPr>
        <w:spacing w:after="120" w:line="276"/>
      </w:pPr>
      <w:r>
        <w:rPr>
          <w:rFonts w:ascii="Arial" w:cs="Arial" w:eastAsia="Arial" w:hAnsi="Arial"/>
          <w:sz w:val="20"/>
          <w:szCs w:val="20"/>
        </w:rPr>
        <w:t xml:space="preserve">Sont exclus du présent périmètre les systèmes industriels de convoyage, qui feront l'objet d'une appréciation dédiée, ainsi que les traitements réalisés en qualité de sous-traitant, dont l'appréciation relève du responsable de traitement donneur d'ordre.</w:t>
      </w:r>
    </w:p>
    <w:p>
      <w:pPr>
        <w:pStyle w:val="Heading1"/>
        <w:spacing w:after="160" w:before="320"/>
      </w:pPr>
      <w:r>
        <w:rPr>
          <w:rFonts w:ascii="Arial" w:cs="Arial" w:eastAsia="Arial" w:hAnsi="Arial"/>
          <w:b/>
          <w:bCs/>
          <w:color w:val="1F3864"/>
          <w:sz w:val="28"/>
          <w:szCs w:val="28"/>
        </w:rPr>
        <w:t xml:space="preserve">2. Démarche suivie</w:t>
      </w:r>
    </w:p>
    <w:p>
      <w:pPr>
        <w:spacing w:after="120" w:line="276"/>
      </w:pPr>
      <w:r>
        <w:rPr>
          <w:rFonts w:ascii="Arial" w:cs="Arial" w:eastAsia="Arial" w:hAnsi="Arial"/>
          <w:sz w:val="20"/>
          <w:szCs w:val="20"/>
        </w:rPr>
        <w:t xml:space="preserve">La démarche se déroule en trois temps, conformément à la logique de la norme ISO/IEC 27005.</w:t>
      </w:r>
    </w:p>
    <w:p>
      <w:pPr>
        <w:pStyle w:val="Heading2"/>
        <w:spacing w:after="120" w:before="220"/>
      </w:pPr>
      <w:r>
        <w:rPr>
          <w:rFonts w:ascii="Arial" w:cs="Arial" w:eastAsia="Arial" w:hAnsi="Arial"/>
          <w:b/>
          <w:bCs/>
          <w:color w:val="2E5B9A"/>
          <w:sz w:val="22"/>
          <w:szCs w:val="22"/>
        </w:rPr>
        <w:t xml:space="preserve">2.1 Identification</w:t>
      </w:r>
    </w:p>
    <w:p>
      <w:pPr>
        <w:spacing w:after="120" w:line="276"/>
      </w:pPr>
      <w:r>
        <w:rPr>
          <w:rFonts w:ascii="Arial" w:cs="Arial" w:eastAsia="Arial" w:hAnsi="Arial"/>
          <w:sz w:val="20"/>
          <w:szCs w:val="20"/>
        </w:rPr>
        <w:t xml:space="preserve">Chaque risque est décrit par un triptyque : l'actif à protéger, la menace qui pèse sur lui, et la vulnérabilité qui rend cette menace exploitable. Un risque n'existe que par la rencontre des trois. Une menace sans vulnérabilité correspondante ne produit aucun dommage.</w:t>
      </w:r>
    </w:p>
    <w:p>
      <w:pPr>
        <w:spacing w:after="120" w:line="276"/>
      </w:pPr>
      <w:r>
        <w:rPr>
          <w:rFonts w:ascii="Arial" w:cs="Arial" w:eastAsia="Arial" w:hAnsi="Arial"/>
          <w:sz w:val="20"/>
          <w:szCs w:val="20"/>
        </w:rPr>
        <w:t xml:space="preserve">Le critère de sécurité affecté est précisé pour chaque scénario : confidentialité, intégrité ou disponibilité.</w:t>
      </w:r>
    </w:p>
    <w:p>
      <w:pPr>
        <w:pStyle w:val="Heading2"/>
        <w:spacing w:after="120" w:before="220"/>
      </w:pPr>
      <w:r>
        <w:rPr>
          <w:rFonts w:ascii="Arial" w:cs="Arial" w:eastAsia="Arial" w:hAnsi="Arial"/>
          <w:b/>
          <w:bCs/>
          <w:color w:val="2E5B9A"/>
          <w:sz w:val="22"/>
          <w:szCs w:val="22"/>
        </w:rPr>
        <w:t xml:space="preserve">2.2 Estimation</w:t>
      </w:r>
    </w:p>
    <w:p>
      <w:pPr>
        <w:spacing w:after="120" w:line="276"/>
      </w:pPr>
      <w:r>
        <w:rPr>
          <w:rFonts w:ascii="Arial" w:cs="Arial" w:eastAsia="Arial" w:hAnsi="Arial"/>
          <w:sz w:val="20"/>
          <w:szCs w:val="20"/>
        </w:rPr>
        <w:t xml:space="preserve">Chaque risque est coté selon deux axes : la gravité des conséquences et la vraisemblance de survenue, chacun sur une échelle de un à cinq. Le niveau de risque résulte du produit des deux valeurs, soit un score compris entre un et vingt-cinq.</w:t>
      </w:r>
    </w:p>
    <w:p>
      <w:pPr>
        <w:spacing w:after="120" w:line="276"/>
      </w:pPr>
      <w:r>
        <w:rPr>
          <w:rFonts w:ascii="Arial" w:cs="Arial" w:eastAsia="Arial" w:hAnsi="Arial"/>
          <w:sz w:val="20"/>
          <w:szCs w:val="20"/>
        </w:rPr>
        <w:t xml:space="preserve">L'estimation initiale est réalisée en tenant compte des mesures déjà en place. Elle porte donc sur le risque tel qu'il existe aujourd'hui, et non sur un risque théorique en l'absence de toute protection.</w:t>
      </w:r>
    </w:p>
    <w:p>
      <w:pPr>
        <w:pStyle w:val="Heading2"/>
        <w:spacing w:after="120" w:before="220"/>
      </w:pPr>
      <w:r>
        <w:rPr>
          <w:rFonts w:ascii="Arial" w:cs="Arial" w:eastAsia="Arial" w:hAnsi="Arial"/>
          <w:b/>
          <w:bCs/>
          <w:color w:val="2E5B9A"/>
          <w:sz w:val="22"/>
          <w:szCs w:val="22"/>
        </w:rPr>
        <w:t xml:space="preserve">2.3 Évaluation et traitement</w:t>
      </w:r>
    </w:p>
    <w:p>
      <w:pPr>
        <w:spacing w:after="120" w:line="276"/>
      </w:pPr>
      <w:r>
        <w:rPr>
          <w:rFonts w:ascii="Arial" w:cs="Arial" w:eastAsia="Arial" w:hAnsi="Arial"/>
          <w:sz w:val="20"/>
          <w:szCs w:val="20"/>
        </w:rPr>
        <w:t xml:space="preserve">Les risques sont comparés aux critères d'acceptation définis au chapitre 4, puis affectés à l'une des quatre options de traitement : réduire, accepter, transférer ou éviter. Le risque résiduel est recoté après application des mesures retenues.</w:t>
      </w:r>
    </w:p>
    <w:p>
      <w:pPr>
        <w:spacing w:after="120" w:line="276"/>
      </w:pPr>
      <w:r>
        <w:rPr>
          <w:rFonts w:ascii="Arial" w:cs="Arial" w:eastAsia="Arial" w:hAnsi="Arial"/>
          <w:i/>
          <w:iCs/>
          <w:sz w:val="20"/>
          <w:szCs w:val="20"/>
        </w:rPr>
        <w:t xml:space="preserve">Toute acceptation d'un risque de niveau élevé ou critique fait l'objet d'une décision écrite et nominative de la direction générale. Une acceptation implicite n'a aucune valeur devant un auditeur.</w:t>
      </w:r>
    </w:p>
    <w:p>
      <w:pPr>
        <w:pStyle w:val="Heading1"/>
        <w:spacing w:after="160" w:before="320"/>
      </w:pPr>
      <w:r>
        <w:rPr>
          <w:rFonts w:ascii="Arial" w:cs="Arial" w:eastAsia="Arial" w:hAnsi="Arial"/>
          <w:b/>
          <w:bCs/>
          <w:color w:val="1F3864"/>
          <w:sz w:val="28"/>
          <w:szCs w:val="28"/>
        </w:rPr>
        <w:t xml:space="preserve">3. Échelles de cotation</w:t>
      </w:r>
    </w:p>
    <w:p>
      <w:pPr>
        <w:pStyle w:val="Heading2"/>
        <w:spacing w:after="120" w:before="220"/>
      </w:pPr>
      <w:r>
        <w:rPr>
          <w:rFonts w:ascii="Arial" w:cs="Arial" w:eastAsia="Arial" w:hAnsi="Arial"/>
          <w:b/>
          <w:bCs/>
          <w:color w:val="2E5B9A"/>
          <w:sz w:val="22"/>
          <w:szCs w:val="22"/>
        </w:rPr>
        <w:t xml:space="preserve">3.1 Gravité des conséquences</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2200"/>
        <w:gridCol w:w="6700"/>
      </w:tblGrid>
      <w:tr>
        <w:trPr>
          <w:tblHeader/>
        </w:trPr>
        <w:tc>
          <w:tcPr>
            <w:tcW w:type="dxa" w:w="9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Niveau</w:t>
            </w:r>
          </w:p>
        </w:tc>
        <w:tc>
          <w:tcPr>
            <w:tcW w:type="dxa" w:w="22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Qualification</w:t>
            </w:r>
          </w:p>
        </w:tc>
        <w:tc>
          <w:tcPr>
            <w:tcW w:type="dxa" w:w="67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Description</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1</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Négligeable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Aucune conséquence perceptible sur l'activité ou les personnes.</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2</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Mineure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Gêne opérationnelle limitée, absorbée par les moyens courants.</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3</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Significative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Perturbation notable de l'activité, coût mesurable, mécontentement client.</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4</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Grave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Interruption d'un processus essentiel, sanction envisageable, atteinte à la réputation.</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5</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Critique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Arrêt de l'activité, atteinte grave aux personnes concernées, sanction majeure ou mise en cause pénale.</w:t>
            </w:r>
          </w:p>
        </w:tc>
      </w:tr>
    </w:tbl>
    <w:p>
      <w:pPr>
        <w:spacing w:after="180" w:line="276"/>
      </w:pPr>
      <w:r>
        <w:rPr>
          <w:rFonts w:ascii="Arial" w:cs="Arial" w:eastAsia="Arial" w:hAnsi="Arial"/>
          <w:sz w:val="20"/>
          <w:szCs w:val="20"/>
        </w:rPr>
        <w:t xml:space="preserve"/>
      </w:r>
    </w:p>
    <w:p>
      <w:pPr>
        <w:spacing w:after="120" w:line="276"/>
      </w:pPr>
      <w:r>
        <w:rPr>
          <w:rFonts w:ascii="Arial" w:cs="Arial" w:eastAsia="Arial" w:hAnsi="Arial"/>
          <w:i/>
          <w:iCs/>
          <w:sz w:val="20"/>
          <w:szCs w:val="20"/>
        </w:rPr>
        <w:t xml:space="preserve">Les conséquences sont appréciées selon trois familles d'impact : financier, réputationnel et juridique. Le niveau retenu est celui de la famille la plus affectée.</w:t>
      </w:r>
    </w:p>
    <w:p>
      <w:pPr>
        <w:pStyle w:val="Heading2"/>
        <w:spacing w:after="120" w:before="220"/>
      </w:pPr>
      <w:r>
        <w:rPr>
          <w:rFonts w:ascii="Arial" w:cs="Arial" w:eastAsia="Arial" w:hAnsi="Arial"/>
          <w:b/>
          <w:bCs/>
          <w:color w:val="2E5B9A"/>
          <w:sz w:val="22"/>
          <w:szCs w:val="22"/>
        </w:rPr>
        <w:t xml:space="preserve">3.2 Vraisemblance de survenue</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2200"/>
        <w:gridCol w:w="6700"/>
      </w:tblGrid>
      <w:tr>
        <w:trPr>
          <w:tblHeader/>
        </w:trPr>
        <w:tc>
          <w:tcPr>
            <w:tcW w:type="dxa" w:w="9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Niveau</w:t>
            </w:r>
          </w:p>
        </w:tc>
        <w:tc>
          <w:tcPr>
            <w:tcW w:type="dxa" w:w="22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Qualification</w:t>
            </w:r>
          </w:p>
        </w:tc>
        <w:tc>
          <w:tcPr>
            <w:tcW w:type="dxa" w:w="67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Description</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1</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Improbable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Aucun cas connu dans le secteur ; surviendrait dans des circonstances exceptionnelles.</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2</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Peu probable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Cas connus dans le secteur, mais rares. Ordre de grandeur : une fois tous les cinq ans.</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3</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Occasionnelle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Survenue plausible. Ordre de grandeur : une fois par an.</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4</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Probable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Survenue attendue plusieurs fois par an ; tentatives déjà observées sur le périmètre.</w:t>
            </w:r>
          </w:p>
        </w:tc>
      </w:tr>
      <w:tr>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5</w:t>
            </w:r>
          </w:p>
        </w:tc>
        <w:tc>
          <w:tcPr>
            <w:tcW w:type="dxa" w:w="2200"/>
            <w:tcMar>
              <w:top w:type="dxa" w:w="60"/>
              <w:left w:type="dxa" w:w="80"/>
              <w:bottom w:type="dxa" w:w="60"/>
              <w:right w:type="dxa" w:w="80"/>
            </w:tcMar>
          </w:tcPr>
          <w:p>
            <w:pPr>
              <w:spacing w:after="0" w:line="240"/>
            </w:pPr>
            <w:r>
              <w:rPr>
                <w:rFonts w:ascii="Arial" w:cs="Arial" w:eastAsia="Arial" w:hAnsi="Arial"/>
                <w:sz w:val="16"/>
                <w:szCs w:val="16"/>
              </w:rPr>
              <w:t xml:space="preserve">Quasi certaine</w:t>
            </w:r>
          </w:p>
        </w:tc>
        <w:tc>
          <w:tcPr>
            <w:tcW w:type="dxa" w:w="6700"/>
            <w:tcMar>
              <w:top w:type="dxa" w:w="60"/>
              <w:left w:type="dxa" w:w="80"/>
              <w:bottom w:type="dxa" w:w="60"/>
              <w:right w:type="dxa" w:w="80"/>
            </w:tcMar>
          </w:tcPr>
          <w:p>
            <w:pPr>
              <w:spacing w:after="0" w:line="240"/>
            </w:pPr>
            <w:r>
              <w:rPr>
                <w:rFonts w:ascii="Arial" w:cs="Arial" w:eastAsia="Arial" w:hAnsi="Arial"/>
                <w:sz w:val="16"/>
                <w:szCs w:val="16"/>
              </w:rPr>
              <w:t xml:space="preserve">Survenue régulière et documentée sur le périmètre.</w:t>
            </w:r>
          </w:p>
        </w:tc>
      </w:tr>
    </w:tbl>
    <w:p>
      <w:pPr>
        <w:pStyle w:val="Heading1"/>
        <w:spacing w:after="160" w:before="320"/>
      </w:pPr>
      <w:r>
        <w:rPr>
          <w:rFonts w:ascii="Arial" w:cs="Arial" w:eastAsia="Arial" w:hAnsi="Arial"/>
          <w:b/>
          <w:bCs/>
          <w:color w:val="1F3864"/>
          <w:sz w:val="28"/>
          <w:szCs w:val="28"/>
        </w:rPr>
        <w:t xml:space="preserve">4. Critères d'acceptation</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1600"/>
        <w:gridCol w:w="1600"/>
        <w:gridCol w:w="6600"/>
      </w:tblGrid>
      <w:tr>
        <w:trPr>
          <w:tblHeader/>
        </w:trPr>
        <w:tc>
          <w:tcPr>
            <w:tcW w:type="dxa" w:w="16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Score</w:t>
            </w:r>
          </w:p>
        </w:tc>
        <w:tc>
          <w:tcPr>
            <w:tcW w:type="dxa" w:w="16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Niveau</w:t>
            </w:r>
          </w:p>
        </w:tc>
        <w:tc>
          <w:tcPr>
            <w:tcW w:type="dxa" w:w="66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Décision applicable</w:t>
            </w:r>
          </w:p>
        </w:tc>
      </w:tr>
      <w:tr>
        <w:tc>
          <w:tcPr>
            <w:tcW w:type="dxa" w:w="1600"/>
            <w:tcMar>
              <w:top w:type="dxa" w:w="60"/>
              <w:left w:type="dxa" w:w="80"/>
              <w:bottom w:type="dxa" w:w="60"/>
              <w:right w:type="dxa" w:w="80"/>
            </w:tcMar>
          </w:tcPr>
          <w:p>
            <w:pPr>
              <w:spacing w:after="0" w:line="240"/>
            </w:pPr>
            <w:r>
              <w:rPr>
                <w:rFonts w:ascii="Arial" w:cs="Arial" w:eastAsia="Arial" w:hAnsi="Arial"/>
                <w:sz w:val="16"/>
                <w:szCs w:val="16"/>
              </w:rPr>
              <w:t xml:space="preserve">1 à 3</w:t>
            </w:r>
          </w:p>
        </w:tc>
        <w:tc>
          <w:tcPr>
            <w:tcW w:type="dxa" w:w="160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Faible</w:t>
            </w:r>
          </w:p>
        </w:tc>
        <w:tc>
          <w:tcPr>
            <w:tcW w:type="dxa" w:w="6600"/>
            <w:tcMar>
              <w:top w:type="dxa" w:w="60"/>
              <w:left w:type="dxa" w:w="80"/>
              <w:bottom w:type="dxa" w:w="60"/>
              <w:right w:type="dxa" w:w="80"/>
            </w:tcMar>
          </w:tcPr>
          <w:p>
            <w:pPr>
              <w:spacing w:after="0" w:line="240"/>
            </w:pPr>
            <w:r>
              <w:rPr>
                <w:rFonts w:ascii="Arial" w:cs="Arial" w:eastAsia="Arial" w:hAnsi="Arial"/>
                <w:sz w:val="16"/>
                <w:szCs w:val="16"/>
              </w:rPr>
              <w:t xml:space="preserve">Risque accepté sans mesure supplémentaire. Surveillance lors de la revue annuelle.</w:t>
            </w:r>
          </w:p>
        </w:tc>
      </w:tr>
      <w:tr>
        <w:tc>
          <w:tcPr>
            <w:tcW w:type="dxa" w:w="1600"/>
            <w:tcMar>
              <w:top w:type="dxa" w:w="60"/>
              <w:left w:type="dxa" w:w="80"/>
              <w:bottom w:type="dxa" w:w="60"/>
              <w:right w:type="dxa" w:w="80"/>
            </w:tcMar>
          </w:tcPr>
          <w:p>
            <w:pPr>
              <w:spacing w:after="0" w:line="240"/>
            </w:pPr>
            <w:r>
              <w:rPr>
                <w:rFonts w:ascii="Arial" w:cs="Arial" w:eastAsia="Arial" w:hAnsi="Arial"/>
                <w:sz w:val="16"/>
                <w:szCs w:val="16"/>
              </w:rPr>
              <w:t xml:space="preserve">4 à 8</w:t>
            </w:r>
          </w:p>
        </w:tc>
        <w:tc>
          <w:tcPr>
            <w:tcW w:type="dxa" w:w="16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Modéré</w:t>
            </w:r>
          </w:p>
        </w:tc>
        <w:tc>
          <w:tcPr>
            <w:tcW w:type="dxa" w:w="6600"/>
            <w:tcMar>
              <w:top w:type="dxa" w:w="60"/>
              <w:left w:type="dxa" w:w="80"/>
              <w:bottom w:type="dxa" w:w="60"/>
              <w:right w:type="dxa" w:w="80"/>
            </w:tcMar>
          </w:tcPr>
          <w:p>
            <w:pPr>
              <w:spacing w:after="0" w:line="240"/>
            </w:pPr>
            <w:r>
              <w:rPr>
                <w:rFonts w:ascii="Arial" w:cs="Arial" w:eastAsia="Arial" w:hAnsi="Arial"/>
                <w:sz w:val="16"/>
                <w:szCs w:val="16"/>
              </w:rPr>
              <w:t xml:space="preserve">Traitement souhaitable. Mesure planifiée si le coût est proportionné.</w:t>
            </w:r>
          </w:p>
        </w:tc>
      </w:tr>
      <w:tr>
        <w:tc>
          <w:tcPr>
            <w:tcW w:type="dxa" w:w="1600"/>
            <w:tcMar>
              <w:top w:type="dxa" w:w="60"/>
              <w:left w:type="dxa" w:w="80"/>
              <w:bottom w:type="dxa" w:w="60"/>
              <w:right w:type="dxa" w:w="80"/>
            </w:tcMar>
          </w:tcPr>
          <w:p>
            <w:pPr>
              <w:spacing w:after="0" w:line="240"/>
            </w:pPr>
            <w:r>
              <w:rPr>
                <w:rFonts w:ascii="Arial" w:cs="Arial" w:eastAsia="Arial" w:hAnsi="Arial"/>
                <w:sz w:val="16"/>
                <w:szCs w:val="16"/>
              </w:rPr>
              <w:t xml:space="preserve">9 à 14</w:t>
            </w:r>
          </w:p>
        </w:tc>
        <w:tc>
          <w:tcPr>
            <w:tcW w:type="dxa" w:w="160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Élevé</w:t>
            </w:r>
          </w:p>
        </w:tc>
        <w:tc>
          <w:tcPr>
            <w:tcW w:type="dxa" w:w="6600"/>
            <w:tcMar>
              <w:top w:type="dxa" w:w="60"/>
              <w:left w:type="dxa" w:w="80"/>
              <w:bottom w:type="dxa" w:w="60"/>
              <w:right w:type="dxa" w:w="80"/>
            </w:tcMar>
          </w:tcPr>
          <w:p>
            <w:pPr>
              <w:spacing w:after="0" w:line="240"/>
            </w:pPr>
            <w:r>
              <w:rPr>
                <w:rFonts w:ascii="Arial" w:cs="Arial" w:eastAsia="Arial" w:hAnsi="Arial"/>
                <w:sz w:val="16"/>
                <w:szCs w:val="16"/>
              </w:rPr>
              <w:t xml:space="preserve">Traitement obligatoire. Plan d'action assorti d'un responsable et d'une échéance.</w:t>
            </w:r>
          </w:p>
        </w:tc>
      </w:tr>
      <w:tr>
        <w:tc>
          <w:tcPr>
            <w:tcW w:type="dxa" w:w="1600"/>
            <w:tcMar>
              <w:top w:type="dxa" w:w="60"/>
              <w:left w:type="dxa" w:w="80"/>
              <w:bottom w:type="dxa" w:w="60"/>
              <w:right w:type="dxa" w:w="80"/>
            </w:tcMar>
          </w:tcPr>
          <w:p>
            <w:pPr>
              <w:spacing w:after="0" w:line="240"/>
            </w:pPr>
            <w:r>
              <w:rPr>
                <w:rFonts w:ascii="Arial" w:cs="Arial" w:eastAsia="Arial" w:hAnsi="Arial"/>
                <w:sz w:val="16"/>
                <w:szCs w:val="16"/>
              </w:rPr>
              <w:t xml:space="preserve">15 à 25</w:t>
            </w:r>
          </w:p>
        </w:tc>
        <w:tc>
          <w:tcPr>
            <w:tcW w:type="dxa" w:w="160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Critique</w:t>
            </w:r>
          </w:p>
        </w:tc>
        <w:tc>
          <w:tcPr>
            <w:tcW w:type="dxa" w:w="6600"/>
            <w:tcMar>
              <w:top w:type="dxa" w:w="60"/>
              <w:left w:type="dxa" w:w="80"/>
              <w:bottom w:type="dxa" w:w="60"/>
              <w:right w:type="dxa" w:w="80"/>
            </w:tcMar>
          </w:tcPr>
          <w:p>
            <w:pPr>
              <w:spacing w:after="0" w:line="240"/>
            </w:pPr>
            <w:r>
              <w:rPr>
                <w:rFonts w:ascii="Arial" w:cs="Arial" w:eastAsia="Arial" w:hAnsi="Arial"/>
                <w:sz w:val="16"/>
                <w:szCs w:val="16"/>
              </w:rPr>
              <w:t xml:space="preserve">Traitement prioritaire. Arbitrage porté devant la direction générale sous un mois.</w:t>
            </w:r>
          </w:p>
        </w:tc>
      </w:tr>
    </w:tbl>
    <w:p>
      <w:pPr>
        <w:spacing w:after="200" w:line="276"/>
      </w:pPr>
      <w:r>
        <w:rPr>
          <w:rFonts w:ascii="Arial" w:cs="Arial" w:eastAsia="Arial" w:hAnsi="Arial"/>
          <w:sz w:val="20"/>
          <w:szCs w:val="20"/>
        </w:rPr>
        <w:t xml:space="preserve"/>
      </w:r>
    </w:p>
    <w:p>
      <w:pPr>
        <w:pStyle w:val="Heading2"/>
        <w:spacing w:after="120" w:before="220"/>
      </w:pPr>
      <w:r>
        <w:rPr>
          <w:rFonts w:ascii="Arial" w:cs="Arial" w:eastAsia="Arial" w:hAnsi="Arial"/>
          <w:b/>
          <w:bCs/>
          <w:color w:val="2E5B9A"/>
          <w:sz w:val="22"/>
          <w:szCs w:val="22"/>
        </w:rPr>
        <w:t xml:space="preserve">Matrice de criticité</w:t>
      </w:r>
    </w:p>
    <w:p>
      <w:pPr>
        <w:spacing w:after="120" w:line="276"/>
      </w:pPr>
      <w:r>
        <w:rPr>
          <w:rFonts w:ascii="Arial" w:cs="Arial" w:eastAsia="Arial" w:hAnsi="Arial"/>
          <w:i/>
          <w:iCs/>
          <w:sz w:val="18"/>
          <w:szCs w:val="18"/>
        </w:rPr>
        <w:t xml:space="preserve">Lecture : la vraisemblance en ligne, la gravité en colonne. La case porte le score obtenu.</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420"/>
        <w:gridCol w:w="1420"/>
        <w:gridCol w:w="1420"/>
        <w:gridCol w:w="1420"/>
        <w:gridCol w:w="1420"/>
      </w:tblGrid>
      <w:tr>
        <w:trPr>
          <w:tblHeader/>
        </w:trPr>
        <w:tc>
          <w:tcPr>
            <w:tcW w:type="dxa" w:w="19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Vraisemblance \ Gravité</w:t>
            </w:r>
          </w:p>
        </w:tc>
        <w:tc>
          <w:tcPr>
            <w:tcW w:type="dxa" w:w="142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1</w:t>
            </w:r>
          </w:p>
        </w:tc>
        <w:tc>
          <w:tcPr>
            <w:tcW w:type="dxa" w:w="142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2</w:t>
            </w:r>
          </w:p>
        </w:tc>
        <w:tc>
          <w:tcPr>
            <w:tcW w:type="dxa" w:w="142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3</w:t>
            </w:r>
          </w:p>
        </w:tc>
        <w:tc>
          <w:tcPr>
            <w:tcW w:type="dxa" w:w="142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4</w:t>
            </w:r>
          </w:p>
        </w:tc>
        <w:tc>
          <w:tcPr>
            <w:tcW w:type="dxa" w:w="142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5</w:t>
            </w:r>
          </w:p>
        </w:tc>
      </w:tr>
      <w:tr>
        <w:tc>
          <w:tcPr>
            <w:tcW w:type="dxa" w:w="1900"/>
            <w:shd w:fill="F2F2F2" w:color="auto" w:val="clear"/>
            <w:tcMar>
              <w:top w:type="dxa" w:w="60"/>
              <w:left w:type="dxa" w:w="80"/>
              <w:bottom w:type="dxa" w:w="60"/>
              <w:right w:type="dxa" w:w="80"/>
            </w:tcMar>
          </w:tcPr>
          <w:p>
            <w:pPr>
              <w:spacing w:after="0" w:line="240"/>
              <w:jc w:val="center"/>
            </w:pPr>
            <w:r>
              <w:rPr>
                <w:rFonts w:ascii="Arial" w:cs="Arial" w:eastAsia="Arial" w:hAnsi="Arial"/>
                <w:b/>
                <w:bCs/>
                <w:sz w:val="16"/>
                <w:szCs w:val="16"/>
              </w:rPr>
              <w:t xml:space="preserve">5</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5</w:t>
            </w:r>
          </w:p>
        </w:tc>
        <w:tc>
          <w:tcPr>
            <w:tcW w:type="dxa" w:w="14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10</w:t>
            </w:r>
          </w:p>
        </w:tc>
        <w:tc>
          <w:tcPr>
            <w:tcW w:type="dxa" w:w="14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15</w:t>
            </w:r>
          </w:p>
        </w:tc>
        <w:tc>
          <w:tcPr>
            <w:tcW w:type="dxa" w:w="14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20</w:t>
            </w:r>
          </w:p>
        </w:tc>
        <w:tc>
          <w:tcPr>
            <w:tcW w:type="dxa" w:w="14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25</w:t>
            </w:r>
          </w:p>
        </w:tc>
      </w:tr>
      <w:tr>
        <w:tc>
          <w:tcPr>
            <w:tcW w:type="dxa" w:w="1900"/>
            <w:shd w:fill="F2F2F2" w:color="auto" w:val="clear"/>
            <w:tcMar>
              <w:top w:type="dxa" w:w="60"/>
              <w:left w:type="dxa" w:w="80"/>
              <w:bottom w:type="dxa" w:w="60"/>
              <w:right w:type="dxa" w:w="80"/>
            </w:tcMar>
          </w:tcPr>
          <w:p>
            <w:pPr>
              <w:spacing w:after="0" w:line="240"/>
              <w:jc w:val="center"/>
            </w:pPr>
            <w:r>
              <w:rPr>
                <w:rFonts w:ascii="Arial" w:cs="Arial" w:eastAsia="Arial" w:hAnsi="Arial"/>
                <w:b/>
                <w:bCs/>
                <w:sz w:val="16"/>
                <w:szCs w:val="16"/>
              </w:rPr>
              <w:t xml:space="preserve">4</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4</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8</w:t>
            </w:r>
          </w:p>
        </w:tc>
        <w:tc>
          <w:tcPr>
            <w:tcW w:type="dxa" w:w="14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12</w:t>
            </w:r>
          </w:p>
        </w:tc>
        <w:tc>
          <w:tcPr>
            <w:tcW w:type="dxa" w:w="14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16</w:t>
            </w:r>
          </w:p>
        </w:tc>
        <w:tc>
          <w:tcPr>
            <w:tcW w:type="dxa" w:w="14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20</w:t>
            </w:r>
          </w:p>
        </w:tc>
      </w:tr>
      <w:tr>
        <w:tc>
          <w:tcPr>
            <w:tcW w:type="dxa" w:w="1900"/>
            <w:shd w:fill="F2F2F2" w:color="auto" w:val="clear"/>
            <w:tcMar>
              <w:top w:type="dxa" w:w="60"/>
              <w:left w:type="dxa" w:w="80"/>
              <w:bottom w:type="dxa" w:w="60"/>
              <w:right w:type="dxa" w:w="80"/>
            </w:tcMar>
          </w:tcPr>
          <w:p>
            <w:pPr>
              <w:spacing w:after="0" w:line="240"/>
              <w:jc w:val="center"/>
            </w:pPr>
            <w:r>
              <w:rPr>
                <w:rFonts w:ascii="Arial" w:cs="Arial" w:eastAsia="Arial" w:hAnsi="Arial"/>
                <w:b/>
                <w:bCs/>
                <w:sz w:val="16"/>
                <w:szCs w:val="16"/>
              </w:rPr>
              <w:t xml:space="preserve">3</w:t>
            </w:r>
          </w:p>
        </w:tc>
        <w:tc>
          <w:tcPr>
            <w:tcW w:type="dxa" w:w="142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3</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6</w:t>
            </w:r>
          </w:p>
        </w:tc>
        <w:tc>
          <w:tcPr>
            <w:tcW w:type="dxa" w:w="14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9</w:t>
            </w:r>
          </w:p>
        </w:tc>
        <w:tc>
          <w:tcPr>
            <w:tcW w:type="dxa" w:w="14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12</w:t>
            </w:r>
          </w:p>
        </w:tc>
        <w:tc>
          <w:tcPr>
            <w:tcW w:type="dxa" w:w="14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15</w:t>
            </w:r>
          </w:p>
        </w:tc>
      </w:tr>
      <w:tr>
        <w:tc>
          <w:tcPr>
            <w:tcW w:type="dxa" w:w="1900"/>
            <w:shd w:fill="F2F2F2" w:color="auto" w:val="clear"/>
            <w:tcMar>
              <w:top w:type="dxa" w:w="60"/>
              <w:left w:type="dxa" w:w="80"/>
              <w:bottom w:type="dxa" w:w="60"/>
              <w:right w:type="dxa" w:w="80"/>
            </w:tcMar>
          </w:tcPr>
          <w:p>
            <w:pPr>
              <w:spacing w:after="0" w:line="240"/>
              <w:jc w:val="center"/>
            </w:pPr>
            <w:r>
              <w:rPr>
                <w:rFonts w:ascii="Arial" w:cs="Arial" w:eastAsia="Arial" w:hAnsi="Arial"/>
                <w:b/>
                <w:bCs/>
                <w:sz w:val="16"/>
                <w:szCs w:val="16"/>
              </w:rPr>
              <w:t xml:space="preserve">2</w:t>
            </w:r>
          </w:p>
        </w:tc>
        <w:tc>
          <w:tcPr>
            <w:tcW w:type="dxa" w:w="142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2</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4</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6</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8</w:t>
            </w:r>
          </w:p>
        </w:tc>
        <w:tc>
          <w:tcPr>
            <w:tcW w:type="dxa" w:w="14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10</w:t>
            </w:r>
          </w:p>
        </w:tc>
      </w:tr>
      <w:tr>
        <w:tc>
          <w:tcPr>
            <w:tcW w:type="dxa" w:w="1900"/>
            <w:shd w:fill="F2F2F2" w:color="auto" w:val="clear"/>
            <w:tcMar>
              <w:top w:type="dxa" w:w="60"/>
              <w:left w:type="dxa" w:w="80"/>
              <w:bottom w:type="dxa" w:w="60"/>
              <w:right w:type="dxa" w:w="80"/>
            </w:tcMar>
          </w:tcPr>
          <w:p>
            <w:pPr>
              <w:spacing w:after="0" w:line="240"/>
              <w:jc w:val="center"/>
            </w:pPr>
            <w:r>
              <w:rPr>
                <w:rFonts w:ascii="Arial" w:cs="Arial" w:eastAsia="Arial" w:hAnsi="Arial"/>
                <w:b/>
                <w:bCs/>
                <w:sz w:val="16"/>
                <w:szCs w:val="16"/>
              </w:rPr>
              <w:t xml:space="preserve">1</w:t>
            </w:r>
          </w:p>
        </w:tc>
        <w:tc>
          <w:tcPr>
            <w:tcW w:type="dxa" w:w="142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w:t>
            </w:r>
          </w:p>
        </w:tc>
        <w:tc>
          <w:tcPr>
            <w:tcW w:type="dxa" w:w="142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2</w:t>
            </w:r>
          </w:p>
        </w:tc>
        <w:tc>
          <w:tcPr>
            <w:tcW w:type="dxa" w:w="142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3</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4</w:t>
            </w:r>
          </w:p>
        </w:tc>
        <w:tc>
          <w:tcPr>
            <w:tcW w:type="dxa" w:w="14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5</w:t>
            </w:r>
          </w:p>
        </w:tc>
      </w:tr>
    </w:tbl>
    <w:p>
      <w:pPr>
        <w:sectPr>
          <w:headerReference w:type="default" r:id="rId7"/>
          <w:footerReference w:type="default" r:id="rId8"/>
          <w:pgSz w:w="11906" w:h="16838" w:orient="portrait"/>
          <w:pgMar w:top="1100" w:right="1100" w:bottom="1100" w:left="1100" w:header="708" w:footer="708" w:gutter="0"/>
          <w:pgNumType/>
          <w:docGrid w:linePitch="360"/>
        </w:sectPr>
      </w:pPr>
    </w:p>
    <w:p>
      <w:pPr>
        <w:pStyle w:val="Heading1"/>
        <w:spacing w:after="160" w:before="320"/>
      </w:pPr>
      <w:r>
        <w:rPr>
          <w:rFonts w:ascii="Arial" w:cs="Arial" w:eastAsia="Arial" w:hAnsi="Arial"/>
          <w:b/>
          <w:bCs/>
          <w:color w:val="1F3864"/>
          <w:sz w:val="28"/>
          <w:szCs w:val="28"/>
        </w:rPr>
        <w:t xml:space="preserve">5. Registre des risques</w:t>
      </w:r>
    </w:p>
    <w:p>
      <w:pPr>
        <w:spacing w:after="120" w:line="276"/>
      </w:pPr>
      <w:r>
        <w:rPr>
          <w:rFonts w:ascii="Arial" w:cs="Arial" w:eastAsia="Arial" w:hAnsi="Arial"/>
          <w:sz w:val="20"/>
          <w:szCs w:val="20"/>
        </w:rPr>
        <w:t xml:space="preserve">Dix scénarios de risque ont été retenus à l'issue des entretiens conduits avec les directions métier et la direction des systèmes d'information.</w:t>
      </w:r>
    </w:p>
    <w:tbl>
      <w:tblPr>
        <w:tblW w:type="dxa" w:w="13570"/>
        <w:tblBorders>
          <w:top w:val="single" w:color="BFBFBF" w:sz="4"/>
          <w:left w:val="single" w:color="BFBFBF" w:sz="4"/>
          <w:bottom w:val="single" w:color="BFBFBF" w:sz="4"/>
          <w:right w:val="single" w:color="BFBFBF" w:sz="4"/>
          <w:insideH w:val="single" w:color="D9D9D9" w:sz="4"/>
          <w:insideV w:val="single" w:color="D9D9D9" w:sz="4"/>
        </w:tblBorders>
      </w:tblPr>
      <w:tblGrid>
        <w:gridCol w:w="620"/>
        <w:gridCol w:w="1700"/>
        <w:gridCol w:w="2000"/>
        <w:gridCol w:w="2000"/>
        <w:gridCol w:w="560"/>
        <w:gridCol w:w="460"/>
        <w:gridCol w:w="460"/>
        <w:gridCol w:w="620"/>
        <w:gridCol w:w="1450"/>
        <w:gridCol w:w="2100"/>
        <w:gridCol w:w="700"/>
        <w:gridCol w:w="900"/>
      </w:tblGrid>
      <w:tr>
        <w:trPr>
          <w:tblHeader/>
        </w:trPr>
        <w:tc>
          <w:tcPr>
            <w:tcW w:type="dxa" w:w="62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Réf.</w:t>
            </w:r>
          </w:p>
        </w:tc>
        <w:tc>
          <w:tcPr>
            <w:tcW w:type="dxa" w:w="17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Actif</w:t>
            </w:r>
          </w:p>
        </w:tc>
        <w:tc>
          <w:tcPr>
            <w:tcW w:type="dxa" w:w="20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Menace</w:t>
            </w:r>
          </w:p>
        </w:tc>
        <w:tc>
          <w:tcPr>
            <w:tcW w:type="dxa" w:w="20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Vulnérabilité</w:t>
            </w:r>
          </w:p>
        </w:tc>
        <w:tc>
          <w:tcPr>
            <w:tcW w:type="dxa" w:w="56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Critère</w:t>
            </w:r>
          </w:p>
        </w:tc>
        <w:tc>
          <w:tcPr>
            <w:tcW w:type="dxa" w:w="46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G</w:t>
            </w:r>
          </w:p>
        </w:tc>
        <w:tc>
          <w:tcPr>
            <w:tcW w:type="dxa" w:w="46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V</w:t>
            </w:r>
          </w:p>
        </w:tc>
        <w:tc>
          <w:tcPr>
            <w:tcW w:type="dxa" w:w="62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Niveau</w:t>
            </w:r>
          </w:p>
        </w:tc>
        <w:tc>
          <w:tcPr>
            <w:tcW w:type="dxa" w:w="145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Traitement</w:t>
            </w:r>
          </w:p>
        </w:tc>
        <w:tc>
          <w:tcPr>
            <w:tcW w:type="dxa" w:w="21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Mesures retenues</w:t>
            </w:r>
          </w:p>
        </w:tc>
        <w:tc>
          <w:tcPr>
            <w:tcW w:type="dxa" w:w="7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Résiduel</w:t>
            </w:r>
          </w:p>
        </w:tc>
        <w:tc>
          <w:tcPr>
            <w:tcW w:type="dxa" w:w="9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Pilote / échéance</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R-01</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Système de gestion d'entrepôt (WMS) et serveurs de production</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Rançongiciel déployé après compromission initiale par hameçonnage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Absence de segmentation entre bureautique et environnement logistique ; sauvegardes accessibles depuis le domaine</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D, I</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5</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4</w:t>
            </w:r>
          </w:p>
        </w:tc>
        <w:tc>
          <w:tcPr>
            <w:tcW w:type="dxa" w:w="6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20</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Segmentation réseau du périmètre logistique, sauvegardes hors ligne testées trimestriellement, EDR sur les serveurs, plan de reprise formalisé et exercé une fois par an</w:t>
            </w:r>
          </w:p>
        </w:tc>
        <w:tc>
          <w:tcPr>
            <w:tcW w:type="dxa" w:w="70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10</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RSSI — T4 2026</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R-02</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Comptes à privilèges de l'annuaire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Détournement d'un compte administrateur par un attaquant externe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Comptes d'administration utilisés pour la bureautique courante, absence de coffre-fort de secrets</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C, I, D</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5</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3</w:t>
            </w:r>
          </w:p>
        </w:tc>
        <w:tc>
          <w:tcPr>
            <w:tcW w:type="dxa" w:w="6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15</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Comptes d'administration dédiés et distincts, authentification multifacteur systématique, coffre-fort de secrets avec traçabilité, revue trimestrielle des habilitations</w:t>
            </w:r>
          </w:p>
        </w:tc>
        <w:tc>
          <w:tcPr>
            <w:tcW w:type="dxa" w:w="7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5</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DSI — T4 2026</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R-03</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Base clients officines (CRM)</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Exfiltration du fichier clients par un salarié quittant l'organisation</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Export de masse autorisé sans contrôle, absence d'alerte sur volume anormal</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C</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4</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4</w:t>
            </w:r>
          </w:p>
        </w:tc>
        <w:tc>
          <w:tcPr>
            <w:tcW w:type="dxa" w:w="620"/>
            <w:shd w:fill="C00000"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16</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Restriction des exports aux profils habilités, journalisation et alerte sur export supérieur à un seuil défini, clause de confidentialité rappelée à la sortie, révocation des accès sous 24 heures</w:t>
            </w:r>
          </w:p>
        </w:tc>
        <w:tc>
          <w:tcPr>
            <w:tcW w:type="dxa" w:w="7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8</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RSSI — T1 2027</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R-04</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Données de paie hébergées chez le prestataire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Compromission ou défaillance durable du prestataire de paie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Dépendance à un fournisseur unique, absence d'audit de sécurité contractualisé</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C, D</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4</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2</w:t>
            </w:r>
          </w:p>
        </w:tc>
        <w:tc>
          <w:tcPr>
            <w:tcW w:type="dxa" w:w="6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8</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Clauses de sécurité et de notification d'incident au contrat, exigence d'une certification ou d'un rapport d'audit annuel, export périodique des données dans un format réversible</w:t>
            </w:r>
          </w:p>
        </w:tc>
        <w:tc>
          <w:tcPr>
            <w:tcW w:type="dxa" w:w="7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6</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DPO — T2 2027</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R-05</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Traçabilité des lots de produits de santé</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Altération accidentelle ou malveillante des données de traçabilité</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Droits d'écriture trop larges sur la base, absence de contrôle d'intégrité</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I</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5</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2</w:t>
            </w:r>
          </w:p>
        </w:tc>
        <w:tc>
          <w:tcPr>
            <w:tcW w:type="dxa" w:w="6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10</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Application du moindre privilège, journalisation en écriture seule des modifications, contrôle d'intégrité automatisé, réconciliation mensuelle avec l'inventaire physique</w:t>
            </w:r>
          </w:p>
        </w:tc>
        <w:tc>
          <w:tcPr>
            <w:tcW w:type="dxa" w:w="7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5</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Directeur logistique — T1 2027</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R-06</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Messagerie professionnelle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Fraude au virement par usurpation d'identité d'un fournisseur</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Absence de procédure de double validation des changements de coordonnées bancaires</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I</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4</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3</w:t>
            </w:r>
          </w:p>
        </w:tc>
        <w:tc>
          <w:tcPr>
            <w:tcW w:type="dxa" w:w="6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12</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Procédure de rappel sur un numéro connu avant tout changement de RIB, double validation au-delà d'un seuil, sensibilisation ciblée du service comptable, marquage des courriels externes</w:t>
            </w:r>
          </w:p>
        </w:tc>
        <w:tc>
          <w:tcPr>
            <w:tcW w:type="dxa" w:w="7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4</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Directeur financier — T4 2026</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R-07</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Postes de travail nomades</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Perte ou vol d'un ordinateur portable contenant des données personnelles</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Chiffrement du disque non généralisé au parc</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C</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3</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3</w:t>
            </w:r>
          </w:p>
        </w:tc>
        <w:tc>
          <w:tcPr>
            <w:tcW w:type="dxa" w:w="620"/>
            <w:shd w:fill="E8A33D"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9</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Chiffrement intégral du disque généralisé à l'ensemble du parc, verrouillage automatique, effacement à distance, procédure de déclaration de perte</w:t>
            </w:r>
          </w:p>
        </w:tc>
        <w:tc>
          <w:tcPr>
            <w:tcW w:type="dxa" w:w="7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4</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DSI — T4 2026</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R-08</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Site de commande en ligne des officines</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Indisponibilité prolongée du service en période de forte demande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Architecture sans redondance, absence de test de charge</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D</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4</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2</w:t>
            </w:r>
          </w:p>
        </w:tc>
        <w:tc>
          <w:tcPr>
            <w:tcW w:type="dxa" w:w="6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8</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Redondance sur deux zones de disponibilité, supervision et alerte, test de charge annuel, procédure de commande dégradée par téléphone</w:t>
            </w:r>
          </w:p>
        </w:tc>
        <w:tc>
          <w:tcPr>
            <w:tcW w:type="dxa" w:w="70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3</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DSI — T2 2027</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R-09</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Locaux et zones de stockage</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Intrusion physique dans l'entrepôt et accès aux baies techniques</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Contrôle d'accès aux locaux techniques non nominatif</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C, I, D</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4</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2</w:t>
            </w:r>
          </w:p>
        </w:tc>
        <w:tc>
          <w:tcPr>
            <w:tcW w:type="dxa" w:w="6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8</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Badge nominatif sur les locaux techniques, registre des accès, revue semestrielle des badges actifs, vidéoprotection des accès conformément au traitement RT-05</w:t>
            </w:r>
          </w:p>
        </w:tc>
        <w:tc>
          <w:tcPr>
            <w:tcW w:type="dxa" w:w="700"/>
            <w:shd w:fill="C6E0B4"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3</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Responsable sûreté — T1 2027</w:t>
            </w:r>
          </w:p>
        </w:tc>
      </w:tr>
      <w:tr>
        <w:tc>
          <w:tcPr>
            <w:tcW w:type="dxa" w:w="620"/>
            <w:tcMar>
              <w:top w:type="dxa" w:w="60"/>
              <w:left w:type="dxa" w:w="80"/>
              <w:bottom w:type="dxa" w:w="60"/>
              <w:right w:type="dxa" w:w="80"/>
            </w:tcMar>
          </w:tcPr>
          <w:p>
            <w:pPr>
              <w:spacing w:after="0" w:line="240"/>
            </w:pPr>
            <w:r>
              <w:rPr>
                <w:rFonts w:ascii="Arial" w:cs="Arial" w:eastAsia="Arial" w:hAnsi="Arial"/>
                <w:sz w:val="16"/>
                <w:szCs w:val="16"/>
              </w:rPr>
              <w:t xml:space="preserve">R-10</w:t>
            </w:r>
          </w:p>
        </w:tc>
        <w:tc>
          <w:tcPr>
            <w:tcW w:type="dxa" w:w="1700"/>
            <w:tcMar>
              <w:top w:type="dxa" w:w="60"/>
              <w:left w:type="dxa" w:w="80"/>
              <w:bottom w:type="dxa" w:w="60"/>
              <w:right w:type="dxa" w:w="80"/>
            </w:tcMar>
          </w:tcPr>
          <w:p>
            <w:pPr>
              <w:spacing w:after="0" w:line="240"/>
            </w:pPr>
            <w:r>
              <w:rPr>
                <w:rFonts w:ascii="Arial" w:cs="Arial" w:eastAsia="Arial" w:hAnsi="Arial"/>
                <w:sz w:val="16"/>
                <w:szCs w:val="16"/>
              </w:rPr>
              <w:t xml:space="preserve">Ensemble du système d'information</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Sinistre majeur affectant le site principal (incendie, dégât des eaux)</w:t>
            </w:r>
          </w:p>
        </w:tc>
        <w:tc>
          <w:tcPr>
            <w:tcW w:type="dxa" w:w="2000"/>
            <w:tcMar>
              <w:top w:type="dxa" w:w="60"/>
              <w:left w:type="dxa" w:w="80"/>
              <w:bottom w:type="dxa" w:w="60"/>
              <w:right w:type="dxa" w:w="80"/>
            </w:tcMar>
          </w:tcPr>
          <w:p>
            <w:pPr>
              <w:spacing w:after="0" w:line="240"/>
            </w:pPr>
            <w:r>
              <w:rPr>
                <w:rFonts w:ascii="Arial" w:cs="Arial" w:eastAsia="Arial" w:hAnsi="Arial"/>
                <w:sz w:val="16"/>
                <w:szCs w:val="16"/>
              </w:rPr>
              <w:t xml:space="preserve">Concentration des moyens sur un site unique</w:t>
            </w:r>
          </w:p>
        </w:tc>
        <w:tc>
          <w:tcPr>
            <w:tcW w:type="dxa" w:w="560"/>
            <w:tcMar>
              <w:top w:type="dxa" w:w="60"/>
              <w:left w:type="dxa" w:w="80"/>
              <w:bottom w:type="dxa" w:w="60"/>
              <w:right w:type="dxa" w:w="80"/>
            </w:tcMar>
          </w:tcPr>
          <w:p>
            <w:pPr>
              <w:spacing w:after="0" w:line="240"/>
              <w:jc w:val="center"/>
            </w:pPr>
            <w:r>
              <w:rPr>
                <w:rFonts w:ascii="Arial" w:cs="Arial" w:eastAsia="Arial" w:hAnsi="Arial"/>
                <w:sz w:val="16"/>
                <w:szCs w:val="16"/>
              </w:rPr>
              <w:t xml:space="preserve">D</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5</w:t>
            </w:r>
          </w:p>
        </w:tc>
        <w:tc>
          <w:tcPr>
            <w:tcW w:type="dxa" w:w="460"/>
            <w:tcMar>
              <w:top w:type="dxa" w:w="60"/>
              <w:left w:type="dxa" w:w="80"/>
              <w:bottom w:type="dxa" w:w="60"/>
              <w:right w:type="dxa" w:w="80"/>
            </w:tcMar>
          </w:tcPr>
          <w:p>
            <w:pPr>
              <w:spacing w:after="0" w:line="240"/>
              <w:jc w:val="center"/>
            </w:pPr>
            <w:r>
              <w:rPr>
                <w:rFonts w:ascii="Arial" w:cs="Arial" w:eastAsia="Arial" w:hAnsi="Arial"/>
                <w:sz w:val="16"/>
                <w:szCs w:val="16"/>
              </w:rPr>
              <w:t xml:space="preserve">1</w:t>
            </w:r>
          </w:p>
        </w:tc>
        <w:tc>
          <w:tcPr>
            <w:tcW w:type="dxa" w:w="62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5</w:t>
            </w:r>
          </w:p>
        </w:tc>
        <w:tc>
          <w:tcPr>
            <w:tcW w:type="dxa" w:w="1450"/>
            <w:tcMar>
              <w:top w:type="dxa" w:w="60"/>
              <w:left w:type="dxa" w:w="80"/>
              <w:bottom w:type="dxa" w:w="60"/>
              <w:right w:type="dxa" w:w="80"/>
            </w:tcMar>
          </w:tcPr>
          <w:p>
            <w:pPr>
              <w:spacing w:after="0" w:line="240"/>
            </w:pPr>
            <w:r>
              <w:rPr>
                <w:rFonts w:ascii="Arial" w:cs="Arial" w:eastAsia="Arial" w:hAnsi="Arial"/>
                <w:sz w:val="16"/>
                <w:szCs w:val="16"/>
              </w:rPr>
              <w:t xml:space="preserve">Transférer et réduire</w:t>
            </w:r>
          </w:p>
        </w:tc>
        <w:tc>
          <w:tcPr>
            <w:tcW w:type="dxa" w:w="2100"/>
            <w:tcMar>
              <w:top w:type="dxa" w:w="60"/>
              <w:left w:type="dxa" w:w="80"/>
              <w:bottom w:type="dxa" w:w="60"/>
              <w:right w:type="dxa" w:w="80"/>
            </w:tcMar>
          </w:tcPr>
          <w:p>
            <w:pPr>
              <w:spacing w:after="0" w:line="240"/>
            </w:pPr>
            <w:r>
              <w:rPr>
                <w:rFonts w:ascii="Arial" w:cs="Arial" w:eastAsia="Arial" w:hAnsi="Arial"/>
                <w:sz w:val="16"/>
                <w:szCs w:val="16"/>
              </w:rPr>
              <w:t xml:space="preserve">Souscription d'une police cyber et dommages couvrant la perte d'exploitation, sauvegardes répliquées hors site, plan de continuité d'activité formalisé</w:t>
            </w:r>
          </w:p>
        </w:tc>
        <w:tc>
          <w:tcPr>
            <w:tcW w:type="dxa" w:w="700"/>
            <w:shd w:fill="FFE08A" w:color="auto" w:val="clear"/>
            <w:tcMar>
              <w:top w:type="dxa" w:w="60"/>
              <w:left w:type="dxa" w:w="80"/>
              <w:bottom w:type="dxa" w:w="60"/>
              <w:right w:type="dxa" w:w="80"/>
            </w:tcMar>
          </w:tcPr>
          <w:p>
            <w:pPr>
              <w:spacing w:after="0" w:line="240"/>
              <w:jc w:val="center"/>
            </w:pPr>
            <w:r>
              <w:rPr>
                <w:rFonts w:ascii="Arial" w:cs="Arial" w:eastAsia="Arial" w:hAnsi="Arial"/>
                <w:b/>
                <w:bCs/>
                <w:color w:val="000000"/>
                <w:sz w:val="16"/>
                <w:szCs w:val="16"/>
              </w:rPr>
              <w:t xml:space="preserve">4</w:t>
            </w:r>
          </w:p>
        </w:tc>
        <w:tc>
          <w:tcPr>
            <w:tcW w:type="dxa" w:w="900"/>
            <w:tcMar>
              <w:top w:type="dxa" w:w="60"/>
              <w:left w:type="dxa" w:w="80"/>
              <w:bottom w:type="dxa" w:w="60"/>
              <w:right w:type="dxa" w:w="80"/>
            </w:tcMar>
          </w:tcPr>
          <w:p>
            <w:pPr>
              <w:spacing w:after="0" w:line="240"/>
            </w:pPr>
            <w:r>
              <w:rPr>
                <w:rFonts w:ascii="Arial" w:cs="Arial" w:eastAsia="Arial" w:hAnsi="Arial"/>
                <w:sz w:val="16"/>
                <w:szCs w:val="16"/>
              </w:rPr>
              <w:t xml:space="preserve">Direction générale — T2 2027</w:t>
            </w:r>
          </w:p>
        </w:tc>
      </w:tr>
    </w:tbl>
    <w:p>
      <w:pPr>
        <w:spacing w:after="200" w:line="276"/>
      </w:pPr>
      <w:r>
        <w:rPr>
          <w:rFonts w:ascii="Arial" w:cs="Arial" w:eastAsia="Arial" w:hAnsi="Arial"/>
          <w:sz w:val="20"/>
          <w:szCs w:val="20"/>
        </w:rPr>
        <w:t xml:space="preserve"/>
      </w:r>
    </w:p>
    <w:p>
      <w:pPr>
        <w:spacing w:after="120" w:line="276"/>
      </w:pPr>
      <w:r>
        <w:rPr>
          <w:rFonts w:ascii="Arial" w:cs="Arial" w:eastAsia="Arial" w:hAnsi="Arial"/>
          <w:i/>
          <w:iCs/>
          <w:sz w:val="17"/>
          <w:szCs w:val="17"/>
        </w:rPr>
        <w:t xml:space="preserve">G : gravité. V : vraisemblance. Niveau : produit des deux, avant traitement. Résiduel : niveau recoté après application des mesures retenues.</w:t>
      </w:r>
    </w:p>
    <w:p>
      <w:pPr>
        <w:sectPr>
          <w:headerReference w:type="default" r:id="rId9"/>
          <w:footerReference w:type="default" r:id="rId10"/>
          <w:pgSz w:w="16838" w:h="11906" w:orient="landscape"/>
          <w:pgMar w:top="900" w:right="900" w:bottom="900" w:left="900" w:header="708" w:footer="708" w:gutter="0"/>
          <w:pgNumType/>
          <w:docGrid w:linePitch="360"/>
        </w:sectPr>
      </w:pPr>
    </w:p>
    <w:p>
      <w:pPr>
        <w:pStyle w:val="Heading1"/>
        <w:spacing w:after="160" w:before="320"/>
      </w:pPr>
      <w:r>
        <w:rPr>
          <w:rFonts w:ascii="Arial" w:cs="Arial" w:eastAsia="Arial" w:hAnsi="Arial"/>
          <w:b/>
          <w:bCs/>
          <w:color w:val="1F3864"/>
          <w:sz w:val="28"/>
          <w:szCs w:val="28"/>
        </w:rPr>
        <w:t xml:space="preserve">6. Synthèse et priorités</w:t>
      </w:r>
    </w:p>
    <w:p>
      <w:pPr>
        <w:spacing w:after="120" w:line="276"/>
      </w:pPr>
      <w:r>
        <w:rPr>
          <w:rFonts w:ascii="Arial" w:cs="Arial" w:eastAsia="Arial" w:hAnsi="Arial"/>
          <w:sz w:val="20"/>
          <w:szCs w:val="20"/>
        </w:rPr>
        <w:t xml:space="preserve">Deux risques ressortent au niveau critique avant traitement : le rançongiciel sur le périmètre logistique (R-01, score 20) et l'exfiltration de la base clients (R-03, score 16). Ils constituent la priorité du plan d'action et font l'objet d'un arbitrage en comité de direction.</w:t>
      </w:r>
    </w:p>
    <w:p>
      <w:pPr>
        <w:spacing w:after="120" w:line="276"/>
      </w:pPr>
      <w:r>
        <w:rPr>
          <w:rFonts w:ascii="Arial" w:cs="Arial" w:eastAsia="Arial" w:hAnsi="Arial"/>
          <w:sz w:val="20"/>
          <w:szCs w:val="20"/>
        </w:rPr>
        <w:t xml:space="preserve">Le détournement d'un compte à privilèges (R-02, score 15) présente la particularité d'être un risque amplificateur : sa réalisation facilite directement plusieurs autres scénarios du registre, notamment R-01 et R-05. Son traitement produit donc un effet de levier supérieur à ce que sa cotation isolée laisse supposer.</w:t>
      </w:r>
    </w:p>
    <w:p>
      <w:pPr>
        <w:spacing w:after="120" w:line="276"/>
      </w:pPr>
      <w:r>
        <w:rPr>
          <w:rFonts w:ascii="Arial" w:cs="Arial" w:eastAsia="Arial" w:hAnsi="Arial"/>
          <w:sz w:val="20"/>
          <w:szCs w:val="20"/>
        </w:rPr>
        <w:t xml:space="preserve">Après traitement, aucun risque ne demeure au niveau critique. Trois risques résiduels se situent au niveau modéré et sont acceptés en l'état, sur décision écrite de la direction générale consignée au registre des acceptations.</w:t>
      </w:r>
    </w:p>
    <w:p>
      <w:pPr>
        <w:pStyle w:val="Heading2"/>
        <w:spacing w:after="120" w:before="220"/>
      </w:pPr>
      <w:r>
        <w:rPr>
          <w:rFonts w:ascii="Arial" w:cs="Arial" w:eastAsia="Arial" w:hAnsi="Arial"/>
          <w:b/>
          <w:bCs/>
          <w:color w:val="2E5B9A"/>
          <w:sz w:val="22"/>
          <w:szCs w:val="22"/>
        </w:rPr>
        <w:t xml:space="preserve">Lecture par critère de sécurité</w:t>
      </w:r>
    </w:p>
    <w:p>
      <w:pPr>
        <w:pStyle w:val="ListParagraph"/>
        <w:numPr>
          <w:ilvl w:val="0"/>
          <w:numId w:val="2"/>
        </w:numPr>
        <w:spacing w:after="80" w:line="276"/>
      </w:pPr>
      <w:r>
        <w:rPr>
          <w:rFonts w:ascii="Arial" w:cs="Arial" w:eastAsia="Arial" w:hAnsi="Arial"/>
          <w:sz w:val="20"/>
          <w:szCs w:val="20"/>
        </w:rPr>
        <w:t xml:space="preserve">Disponibilité : le critère le plus exposé, en raison de la dépendance de l'activité à la chaîne logistique informatisée.</w:t>
      </w:r>
    </w:p>
    <w:p>
      <w:pPr>
        <w:pStyle w:val="ListParagraph"/>
        <w:numPr>
          <w:ilvl w:val="0"/>
          <w:numId w:val="2"/>
        </w:numPr>
        <w:spacing w:after="80" w:line="276"/>
      </w:pPr>
      <w:r>
        <w:rPr>
          <w:rFonts w:ascii="Arial" w:cs="Arial" w:eastAsia="Arial" w:hAnsi="Arial"/>
          <w:sz w:val="20"/>
          <w:szCs w:val="20"/>
        </w:rPr>
        <w:t xml:space="preserve">Confidentialité : exposition portée principalement par les données clients et les données de ressources humaines.</w:t>
      </w:r>
    </w:p>
    <w:p>
      <w:pPr>
        <w:pStyle w:val="ListParagraph"/>
        <w:numPr>
          <w:ilvl w:val="0"/>
          <w:numId w:val="2"/>
        </w:numPr>
        <w:spacing w:after="80" w:line="276"/>
      </w:pPr>
      <w:r>
        <w:rPr>
          <w:rFonts w:ascii="Arial" w:cs="Arial" w:eastAsia="Arial" w:hAnsi="Arial"/>
          <w:sz w:val="20"/>
          <w:szCs w:val="20"/>
        </w:rPr>
        <w:t xml:space="preserve">Intégrité : enjeu spécifique au secteur, la traçabilité des lots de produits de santé engageant la responsabilité réglementaire de l'organisation.</w:t>
      </w:r>
    </w:p>
    <w:p>
      <w:pPr>
        <w:pStyle w:val="Heading1"/>
        <w:spacing w:after="160" w:before="320"/>
      </w:pPr>
      <w:r>
        <w:rPr>
          <w:rFonts w:ascii="Arial" w:cs="Arial" w:eastAsia="Arial" w:hAnsi="Arial"/>
          <w:b/>
          <w:bCs/>
          <w:color w:val="1F3864"/>
          <w:sz w:val="28"/>
          <w:szCs w:val="28"/>
        </w:rPr>
        <w:t xml:space="preserve">7. Suites données</w:t>
      </w:r>
    </w:p>
    <w:p>
      <w:pPr>
        <w:spacing w:after="120" w:line="276"/>
      </w:pPr>
      <w:r>
        <w:rPr>
          <w:rFonts w:ascii="Arial" w:cs="Arial" w:eastAsia="Arial" w:hAnsi="Arial"/>
          <w:sz w:val="20"/>
          <w:szCs w:val="20"/>
        </w:rPr>
        <w:t xml:space="preserve">Les mesures retenues au chapitre 5 alimentent le plan de traitement des risques, qui en assure le suivi opérationnel : responsable désigné, échéance, avancement et preuve de mise en œuvre.</w:t>
      </w:r>
    </w:p>
    <w:p>
      <w:pPr>
        <w:spacing w:after="120" w:line="276"/>
      </w:pPr>
      <w:r>
        <w:rPr>
          <w:rFonts w:ascii="Arial" w:cs="Arial" w:eastAsia="Arial" w:hAnsi="Arial"/>
          <w:sz w:val="20"/>
          <w:szCs w:val="20"/>
        </w:rPr>
        <w:t xml:space="preserve">Le rapprochement avec l'Annexe A de la norme ISO/IEC 27001 est formalisé dans la déclaration d'applicabilité, qui justifie l'inclusion ou l'exclusion de chaque mesure du référentiel.</w:t>
      </w:r>
    </w:p>
    <w:p>
      <w:pPr>
        <w:spacing w:after="120" w:line="276"/>
      </w:pPr>
      <w:r>
        <w:rPr>
          <w:rFonts w:ascii="Arial" w:cs="Arial" w:eastAsia="Arial" w:hAnsi="Arial"/>
          <w:i/>
          <w:iCs/>
          <w:sz w:val="20"/>
          <w:szCs w:val="20"/>
        </w:rPr>
        <w:t xml:space="preserve">Une mesure décidée mais non prouvée est traitée comme non mise en œuvre. Chaque action du plan doit produire un élément de preuve daté : procédure signée, capture de configuration, compte rendu d'exercice ou rapport de test.</w:t>
      </w:r>
    </w:p>
    <w:p>
      <w:pPr>
        <w:pStyle w:val="Heading1"/>
        <w:spacing w:after="160" w:before="320"/>
      </w:pPr>
      <w:r>
        <w:rPr>
          <w:rFonts w:ascii="Arial" w:cs="Arial" w:eastAsia="Arial" w:hAnsi="Arial"/>
          <w:b/>
          <w:bCs/>
          <w:color w:val="1F3864"/>
          <w:sz w:val="28"/>
          <w:szCs w:val="28"/>
        </w:rPr>
        <w:t xml:space="preserve">8. Historique des versions</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1800"/>
        <w:gridCol w:w="2600"/>
        <w:gridCol w:w="4000"/>
      </w:tblGrid>
      <w:tr>
        <w:trPr>
          <w:tblHeader/>
        </w:trPr>
        <w:tc>
          <w:tcPr>
            <w:tcW w:type="dxa" w:w="14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Version</w:t>
            </w:r>
          </w:p>
        </w:tc>
        <w:tc>
          <w:tcPr>
            <w:tcW w:type="dxa" w:w="18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Date</w:t>
            </w:r>
          </w:p>
        </w:tc>
        <w:tc>
          <w:tcPr>
            <w:tcW w:type="dxa" w:w="26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Auteur</w:t>
            </w:r>
          </w:p>
        </w:tc>
        <w:tc>
          <w:tcPr>
            <w:tcW w:type="dxa" w:w="4000"/>
            <w:shd w:fill="1F3864" w:color="auto" w:val="clear"/>
            <w:tcMar>
              <w:top w:type="dxa" w:w="60"/>
              <w:left w:type="dxa" w:w="80"/>
              <w:bottom w:type="dxa" w:w="60"/>
              <w:right w:type="dxa" w:w="80"/>
            </w:tcMar>
          </w:tcPr>
          <w:p>
            <w:pPr>
              <w:spacing w:after="0" w:line="240"/>
              <w:jc w:val="center"/>
            </w:pPr>
            <w:r>
              <w:rPr>
                <w:rFonts w:ascii="Arial" w:cs="Arial" w:eastAsia="Arial" w:hAnsi="Arial"/>
                <w:b/>
                <w:bCs/>
                <w:color w:val="FFFFFF"/>
                <w:sz w:val="16"/>
                <w:szCs w:val="16"/>
              </w:rPr>
              <w:t xml:space="preserve">Nature de la modification</w:t>
            </w:r>
          </w:p>
        </w:tc>
      </w:tr>
      <w:tr>
        <w:tc>
          <w:tcPr>
            <w:tcW w:type="dxa" w:w="1400"/>
            <w:tcMar>
              <w:top w:type="dxa" w:w="60"/>
              <w:left w:type="dxa" w:w="80"/>
              <w:bottom w:type="dxa" w:w="60"/>
              <w:right w:type="dxa" w:w="80"/>
            </w:tcMar>
          </w:tcPr>
          <w:p>
            <w:pPr>
              <w:spacing w:after="0" w:line="240"/>
            </w:pPr>
            <w:r>
              <w:rPr>
                <w:rFonts w:ascii="Arial" w:cs="Arial" w:eastAsia="Arial" w:hAnsi="Arial"/>
                <w:sz w:val="16"/>
                <w:szCs w:val="16"/>
              </w:rPr>
              <w:t xml:space="preserve">1.0</w:t>
            </w:r>
          </w:p>
        </w:tc>
        <w:tc>
          <w:tcPr>
            <w:tcW w:type="dxa" w:w="1800"/>
            <w:tcMar>
              <w:top w:type="dxa" w:w="60"/>
              <w:left w:type="dxa" w:w="80"/>
              <w:bottom w:type="dxa" w:w="60"/>
              <w:right w:type="dxa" w:w="80"/>
            </w:tcMar>
          </w:tcPr>
          <w:p>
            <w:pPr>
              <w:spacing w:after="0" w:line="240"/>
            </w:pPr>
            <w:r>
              <w:rPr>
                <w:rFonts w:ascii="Arial" w:cs="Arial" w:eastAsia="Arial" w:hAnsi="Arial"/>
                <w:sz w:val="16"/>
                <w:szCs w:val="16"/>
              </w:rPr>
              <w:t xml:space="preserve">11/08/2026</w:t>
            </w:r>
          </w:p>
        </w:tc>
        <w:tc>
          <w:tcPr>
            <w:tcW w:type="dxa" w:w="2600"/>
            <w:tcMar>
              <w:top w:type="dxa" w:w="60"/>
              <w:left w:type="dxa" w:w="80"/>
              <w:bottom w:type="dxa" w:w="60"/>
              <w:right w:type="dxa" w:w="80"/>
            </w:tcMar>
          </w:tcPr>
          <w:p>
            <w:pPr>
              <w:spacing w:after="0" w:line="240"/>
            </w:pPr>
            <w:r>
              <w:rPr>
                <w:rFonts w:ascii="Arial" w:cs="Arial" w:eastAsia="Arial" w:hAnsi="Arial"/>
                <w:sz w:val="16"/>
                <w:szCs w:val="16"/>
              </w:rPr>
              <w:t xml:space="preserve">Analyste GRC</w:t>
            </w:r>
          </w:p>
        </w:tc>
        <w:tc>
          <w:tcPr>
            <w:tcW w:type="dxa" w:w="4000"/>
            <w:tcMar>
              <w:top w:type="dxa" w:w="60"/>
              <w:left w:type="dxa" w:w="80"/>
              <w:bottom w:type="dxa" w:w="60"/>
              <w:right w:type="dxa" w:w="80"/>
            </w:tcMar>
          </w:tcPr>
          <w:p>
            <w:pPr>
              <w:spacing w:after="0" w:line="240"/>
            </w:pPr>
            <w:r>
              <w:rPr>
                <w:rFonts w:ascii="Arial" w:cs="Arial" w:eastAsia="Arial" w:hAnsi="Arial"/>
                <w:sz w:val="16"/>
                <w:szCs w:val="16"/>
              </w:rPr>
              <w:t xml:space="preserve">Création du document</w:t>
            </w:r>
          </w:p>
        </w:tc>
      </w:tr>
    </w:tbl>
    <w:p>
      <w:pPr>
        <w:spacing w:after="300" w:line="276"/>
      </w:pPr>
      <w:r>
        <w:rPr>
          <w:rFonts w:ascii="Arial" w:cs="Arial" w:eastAsia="Arial" w:hAnsi="Arial"/>
          <w:sz w:val="20"/>
          <w:szCs w:val="20"/>
        </w:rPr>
        <w:t xml:space="preserve"/>
      </w:r>
    </w:p>
    <w:p>
      <w:pPr>
        <w:spacing w:after="120" w:line="276"/>
      </w:pPr>
      <w:r>
        <w:rPr>
          <w:rFonts w:ascii="Arial" w:cs="Arial" w:eastAsia="Arial" w:hAnsi="Arial"/>
          <w:i/>
          <w:iCs/>
          <w:color w:val="808080"/>
          <w:sz w:val="17"/>
          <w:szCs w:val="17"/>
        </w:rPr>
        <w:t xml:space="preserve">Organisation fictive créée à des fins pédagogiques et de démonstration méthodologique. Les scénarios et cotations sont réalistes au regard du secteur de la répartition pharmaceutique, mais ne décrivent aucune entreprise existante.</w:t>
      </w:r>
    </w:p>
    <w:sectPr>
      <w:headerReference w:type="default" r:id="rId11"/>
      <w:footerReference w:type="default" r:id="rId12"/>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Document interne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Document interne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Document interne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rFonts w:ascii="Arial" w:cs="Arial" w:eastAsia="Arial" w:hAnsi="Arial"/>
        <w:color w:val="808080"/>
        <w:sz w:val="16"/>
        <w:szCs w:val="16"/>
      </w:rPr>
      <w:t xml:space="preserve">PHARMAFY SAS — Appréciation des risques de sécurité de l'information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rFonts w:ascii="Arial" w:cs="Arial" w:eastAsia="Arial" w:hAnsi="Arial"/>
        <w:color w:val="808080"/>
        <w:sz w:val="16"/>
        <w:szCs w:val="16"/>
      </w:rPr>
      <w:t xml:space="preserve">PHARMAFY SAS — Appréciation des risques de sécurité de l'information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rFonts w:ascii="Arial" w:cs="Arial" w:eastAsia="Arial" w:hAnsi="Arial"/>
        <w:color w:val="808080"/>
        <w:sz w:val="16"/>
        <w:szCs w:val="16"/>
      </w:rPr>
      <w:t xml:space="preserve">PHARMAFY SAS — Appréciation des risques de sécurité de l'information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2026-08-11T13:52:19.269Z</dcterms:created>
  <dcterms:modified xsi:type="dcterms:W3CDTF">2026-08-11T13:52:19.414Z</dcterms:modified>
</cp:coreProperties>
</file>

<file path=docProps/custom.xml><?xml version="1.0" encoding="utf-8"?>
<Properties xmlns="http://schemas.openxmlformats.org/officeDocument/2006/custom-properties" xmlns:vt="http://schemas.openxmlformats.org/officeDocument/2006/docPropsVTypes"/>
</file>