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RSRS原报告期复现研究报告</w:t>
      </w:r>
    </w:p>
    <w:p>
      <w:pPr>
        <w:pStyle w:val="Subtitle"/>
      </w:pPr>
      <w:r>
        <w:t>指标与策略检验以及面试展示准备</w:t>
      </w:r>
    </w:p>
    <w:p>
      <w:pPr>
        <w:widowControl/>
      </w:pPr>
      <w:r>
        <w:rPr>
          <w:rFonts w:ascii="Calibri" w:hAnsi="Calibri" w:eastAsia="微软雅黑"/>
          <w:b w:val="0"/>
          <w:color w:val="000000"/>
          <w:sz w:val="21"/>
        </w:rPr>
        <w:t>研究对象为光大证券2017年5月1日发布的《基于阻力支撑相对强度（RSRS）的市场择时》。本报告将原报告期的研究问题、实施方法、图表、结果解读和证据边界集中呈现，作为理解成果和制作面试PPT的统一材料。</w:t>
      </w:r>
    </w:p>
    <w:p>
      <w:pPr>
        <w:widowControl/>
      </w:pPr>
      <w:r>
        <w:rPr>
          <w:rFonts w:ascii="Calibri" w:hAnsi="Calibri" w:eastAsia="微软雅黑"/>
          <w:b/>
          <w:color w:val="000000"/>
          <w:sz w:val="21"/>
        </w:rPr>
        <w:t>主要结论</w:t>
      </w:r>
    </w:p>
    <w:p>
      <w:pPr>
        <w:widowControl/>
      </w:pPr>
      <w:r>
        <w:rPr>
          <w:rFonts w:ascii="Calibri" w:hAnsi="Calibri" w:eastAsia="微软雅黑"/>
          <w:b w:val="0"/>
          <w:color w:val="000000"/>
          <w:sz w:val="21"/>
        </w:rPr>
        <w:t>在沪深300的原报告期内，RSRS指标呈现一定正向预测信息；固定交易规则取得较好的样本内回测效果。量价过滤改善了收益与回撤的组合；做空提高部分组合收益，同时扩大风险。统计把握与实施敏感性限制了结论强度，不能把这段历史表现直接解释为未来稳定收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2"/>
        <w:gridCol w:w="2268"/>
        <w:gridCol w:w="2268"/>
      </w:tblGrid>
      <w:tr>
        <w:trPr>
          <w:cantSplit/>
          <w:tblHeader/>
        </w:trPr>
        <w:tc>
          <w:tcPr>
            <w:tcW w:type="dxa" w:w="5102"/>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沪深300代表结果</w:t>
            </w:r>
          </w:p>
        </w:tc>
        <w:tc>
          <w:tcPr>
            <w:tcW w:type="dxa" w:w="2268"/>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2268"/>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5102"/>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买入持有</w:t>
            </w:r>
          </w:p>
        </w:tc>
        <w:tc>
          <w:tcPr>
            <w:tcW w:type="dxa" w:w="226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11.24%</w:t>
            </w:r>
          </w:p>
        </w:tc>
        <w:tc>
          <w:tcPr>
            <w:tcW w:type="dxa" w:w="226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-72.30%</w:t>
            </w:r>
          </w:p>
        </w:tc>
      </w:tr>
      <w:tr>
        <w:trPr>
          <w:cantSplit/>
        </w:trPr>
        <w:tc>
          <w:tcPr>
            <w:tcW w:type="dxa" w:w="5102"/>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价格过滤右偏 多头</w:t>
            </w:r>
          </w:p>
        </w:tc>
        <w:tc>
          <w:tcPr>
            <w:tcW w:type="dxa" w:w="226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226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r>
        <w:trPr>
          <w:cantSplit/>
        </w:trPr>
        <w:tc>
          <w:tcPr>
            <w:tcW w:type="dxa" w:w="5102"/>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价格过滤右偏 多空</w:t>
            </w:r>
          </w:p>
        </w:tc>
        <w:tc>
          <w:tcPr>
            <w:tcW w:type="dxa" w:w="226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26.42%</w:t>
            </w:r>
          </w:p>
        </w:tc>
        <w:tc>
          <w:tcPr>
            <w:tcW w:type="dxa" w:w="226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-27.63%</w:t>
            </w:r>
          </w:p>
        </w:tc>
      </w:tr>
    </w:tbl>
    <w:p>
      <w:pPr>
        <w:spacing w:after="0"/>
      </w:pPr>
    </w:p>
    <w:p>
      <w:pPr>
        <w:pStyle w:val="Heading2"/>
      </w:pPr>
      <w:r>
        <w:t>范围与阅读方式</w:t>
      </w:r>
    </w:p>
    <w:p>
      <w:pPr>
        <w:widowControl/>
      </w:pPr>
      <w:r>
        <w:rPr>
          <w:rFonts w:ascii="Calibri" w:hAnsi="Calibri" w:eastAsia="微软雅黑"/>
          <w:b w:val="0"/>
          <w:color w:val="000000"/>
          <w:sz w:val="21"/>
        </w:rPr>
        <w:t>主样本为沪深300，统计区间为2005年4月8日至2017年4月28日。上证50、中证500用于补充验证，但中证500仅有2007年起的数据。原文部分实证使用2005年3月至2017年3月，故这里不是每张原表的完全同期间数值复刻。</w:t>
      </w:r>
    </w:p>
    <w:p>
      <w:pPr>
        <w:widowControl/>
      </w:pPr>
      <w:r>
        <w:rPr>
          <w:rFonts w:ascii="Calibri" w:hAnsi="Calibri" w:eastAsia="微软雅黑"/>
          <w:b w:val="0"/>
          <w:color w:val="000000"/>
          <w:sz w:val="21"/>
        </w:rPr>
        <w:t>先读第2至4节，理解自己做了什么；第5至13节提供证据与解读；第14节说明不足；第15至16节给出面试讲述顺序和追问准备。附录集中保留两个补充市场的全部策略成绩。</w:t>
      </w:r>
    </w:p>
    <w:p>
      <w:pPr>
        <w:widowControl/>
        <w:spacing w:after="100"/>
      </w:pPr>
      <w:r>
        <w:rPr>
          <w:rFonts w:ascii="Calibri" w:hAnsi="Calibri" w:eastAsia="微软雅黑"/>
          <w:b w:val="0"/>
          <w:color w:val="000000"/>
          <w:sz w:val="17"/>
        </w:rPr>
        <w:t>统一主口径：t日收盘形成信号，t+1日收盘成交；单边交易费0.1%；252交易日年化；价格指数不含股息。多空为日度指数暴露模拟。整理日期：2026年10月22日。本文不纳入发表后收益，也不评价自行新增的策略改进。</w:t>
      </w:r>
    </w:p>
    <w:p>
      <w:r>
        <w:br w:type="page"/>
      </w:r>
    </w:p>
    <w:p>
      <w:pPr>
        <w:pStyle w:val="Heading1"/>
      </w:pPr>
      <w:r>
        <w:t>2 研究问题和已经完成的工作</w:t>
      </w:r>
    </w:p>
    <w:p>
      <w:pPr>
        <w:widowControl/>
      </w:pPr>
      <w:r>
        <w:rPr>
          <w:rFonts w:ascii="Calibri" w:hAnsi="Calibri" w:eastAsia="微软雅黑"/>
          <w:b w:val="0"/>
          <w:color w:val="000000"/>
          <w:sz w:val="21"/>
        </w:rPr>
        <w:t>本研究的任务是将研报给出的指标和交易规则变成可重复运行的计算，并分别评价指标与策略。原文策略的设计归于原研报；本研究的工作体现在规则落地、统一比较、证据复核与解释边界。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72"/>
        <w:gridCol w:w="4365"/>
      </w:tblGrid>
      <w:tr>
        <w:trPr>
          <w:cantSplit/>
          <w:tblHeader/>
        </w:trPr>
        <w:tc>
          <w:tcPr>
            <w:tcW w:type="dxa" w:w="1701"/>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研究层面</w:t>
            </w:r>
          </w:p>
        </w:tc>
        <w:tc>
          <w:tcPr>
            <w:tcW w:type="dxa" w:w="3572"/>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回答的问题</w:t>
            </w:r>
          </w:p>
        </w:tc>
        <w:tc>
          <w:tcPr>
            <w:tcW w:type="dxa" w:w="436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已有产出</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指标构造</w:t>
            </w:r>
          </w:p>
        </w:tc>
        <w:tc>
          <w:tcPr>
            <w:tcW w:type="dxa" w:w="3572"/>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如何把每日高低价转成可用信号</w:t>
            </w:r>
          </w:p>
        </w:tc>
        <w:tc>
          <w:tcPr>
            <w:tcW w:type="dxa" w:w="436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四种指标及滚动计算</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预测检验</w:t>
            </w:r>
          </w:p>
        </w:tc>
        <w:tc>
          <w:tcPr>
            <w:tcW w:type="dxa" w:w="3572"/>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指标高低与未来收益是否有关</w:t>
            </w:r>
          </w:p>
        </w:tc>
        <w:tc>
          <w:tcPr>
            <w:tcW w:type="dxa" w:w="436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逐日相关 回归 分组统计</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交易规则</w:t>
            </w:r>
          </w:p>
        </w:tc>
        <w:tc>
          <w:tcPr>
            <w:tcW w:type="dxa" w:w="3572"/>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信号何时开平仓 如何加过滤</w:t>
            </w:r>
          </w:p>
        </w:tc>
        <w:tc>
          <w:tcPr>
            <w:tcW w:type="dxa" w:w="436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10个多头 6个多空版本</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账户评价</w:t>
            </w:r>
          </w:p>
        </w:tc>
        <w:tc>
          <w:tcPr>
            <w:tcW w:type="dxa" w:w="3572"/>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执行与扣费后效果如何</w:t>
            </w:r>
          </w:p>
        </w:tc>
        <w:tc>
          <w:tcPr>
            <w:tcW w:type="dxa" w:w="436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收益 风险 暴露 交易记录</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补充验证</w:t>
            </w:r>
          </w:p>
        </w:tc>
        <w:tc>
          <w:tcPr>
            <w:tcW w:type="dxa" w:w="3572"/>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结果是否依赖市场和实施约定</w:t>
            </w:r>
          </w:p>
        </w:tc>
        <w:tc>
          <w:tcPr>
            <w:tcW w:type="dxa" w:w="436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三市场 成本 延迟 参数情景</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计算审计</w:t>
            </w:r>
          </w:p>
        </w:tc>
        <w:tc>
          <w:tcPr>
            <w:tcW w:type="dxa" w:w="3572"/>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是否存在时间错位或未来信息</w:t>
            </w:r>
          </w:p>
        </w:tc>
        <w:tc>
          <w:tcPr>
            <w:tcW w:type="dxa" w:w="436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截断重算 独立核账 数据检查</w:t>
            </w:r>
          </w:p>
        </w:tc>
      </w:tr>
    </w:tbl>
    <w:p>
      <w:pPr>
        <w:spacing w:after="0"/>
      </w:pPr>
    </w:p>
    <w:p>
      <w:pPr>
        <w:pStyle w:val="Heading2"/>
      </w:pPr>
      <w:r>
        <w:t>原文内容与研究补充</w:t>
      </w:r>
    </w:p>
    <w:p>
      <w:pPr>
        <w:widowControl/>
      </w:pPr>
      <w:r>
        <w:rPr>
          <w:rFonts w:ascii="Calibri" w:hAnsi="Calibri" w:eastAsia="微软雅黑"/>
          <w:b w:val="0"/>
          <w:color w:val="000000"/>
          <w:sz w:val="21"/>
        </w:rPr>
        <w:t>原文已经包含基础指标、量价过滤、多空、跨市场、成本和参数敏感性。不能把这些研究方向整体称为本研究的原创。本研究增加的是明确的执行时点、部分统计验证、更多策略与市场组合，以及计算一致性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850"/>
        <w:gridCol w:w="6520"/>
      </w:tblGrid>
      <w:tr>
        <w:trPr>
          <w:cantSplit/>
          <w:tblHeader/>
        </w:trPr>
        <w:tc>
          <w:tcPr>
            <w:tcW w:type="dxa" w:w="2268"/>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规则类别</w:t>
            </w:r>
          </w:p>
        </w:tc>
        <w:tc>
          <w:tcPr>
            <w:tcW w:type="dxa" w:w="850"/>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数量</w:t>
            </w:r>
          </w:p>
        </w:tc>
        <w:tc>
          <w:tcPr>
            <w:tcW w:type="dxa" w:w="6520"/>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实际覆盖</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基础多头</w:t>
            </w:r>
          </w:p>
        </w:tc>
        <w:tc>
          <w:tcPr>
            <w:tcW w:type="dxa" w:w="85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4</w:t>
            </w:r>
          </w:p>
        </w:tc>
        <w:tc>
          <w:tcPr>
            <w:tcW w:type="dxa" w:w="652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斜率 标准分 修正标准分 右偏</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过滤多头</w:t>
            </w:r>
          </w:p>
        </w:tc>
        <w:tc>
          <w:tcPr>
            <w:tcW w:type="dxa" w:w="850"/>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6</w:t>
            </w:r>
          </w:p>
        </w:tc>
        <w:tc>
          <w:tcPr>
            <w:tcW w:type="dxa" w:w="6520"/>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三种标准分指标各配价格与成交量过滤</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过滤多空</w:t>
            </w:r>
          </w:p>
        </w:tc>
        <w:tc>
          <w:tcPr>
            <w:tcW w:type="dxa" w:w="85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6</w:t>
            </w:r>
          </w:p>
        </w:tc>
        <w:tc>
          <w:tcPr>
            <w:tcW w:type="dxa" w:w="652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按原文开空和平空规则实现六种组合</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同参数对照</w:t>
            </w:r>
          </w:p>
        </w:tc>
        <w:tc>
          <w:tcPr>
            <w:tcW w:type="dxa" w:w="850"/>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w:t>
            </w:r>
          </w:p>
        </w:tc>
        <w:tc>
          <w:tcPr>
            <w:tcW w:type="dxa" w:w="6520"/>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无过滤右偏 N18 M600</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比较基线</w:t>
            </w:r>
          </w:p>
        </w:tc>
        <w:tc>
          <w:tcPr>
            <w:tcW w:type="dxa" w:w="85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w:t>
            </w:r>
          </w:p>
        </w:tc>
        <w:tc>
          <w:tcPr>
            <w:tcW w:type="dxa" w:w="6520"/>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买入持有 MA20 布林带14日2倍标准差</w:t>
            </w:r>
          </w:p>
        </w:tc>
      </w:tr>
    </w:tbl>
    <w:p>
      <w:pPr>
        <w:spacing w:after="0"/>
      </w:pPr>
    </w:p>
    <w:p>
      <w:pPr>
        <w:widowControl/>
        <w:spacing w:after="100"/>
      </w:pPr>
      <w:r>
        <w:rPr>
          <w:rFonts w:ascii="Calibri" w:hAnsi="Calibri" w:eastAsia="微软雅黑"/>
          <w:b w:val="0"/>
          <w:color w:val="000000"/>
          <w:sz w:val="17"/>
        </w:rPr>
        <w:t>共20条规则。原文图29、表8单独披露价格过滤右偏多空成绩；其余五种多空组合是按第3.1与3.2节规则实现的组合，不能声称原文逐一展示了对应业绩。</w:t>
      </w:r>
    </w:p>
    <w:p>
      <w:pPr>
        <w:pStyle w:val="Heading2"/>
      </w:pPr>
      <w:r>
        <w:t>展示时可以这样介绍自己的工作</w:t>
      </w:r>
    </w:p>
    <w:p>
      <w:pPr>
        <w:widowControl/>
      </w:pPr>
      <w:r>
        <w:rPr>
          <w:rFonts w:ascii="Calibri" w:hAnsi="Calibri" w:eastAsia="微软雅黑"/>
          <w:b w:val="0"/>
          <w:color w:val="000000"/>
          <w:sz w:val="21"/>
        </w:rPr>
        <w:t>“我把研报的高低价回归指标、量价过滤和多空规则实现为统一的研究流程，并把指标预测性与策略收益分开检验。重点不在逐项追平研报数字，而在确认规则是否能在明确的时间和成本口径下产生可解释的历史结果。”</w:t>
      </w:r>
    </w:p>
    <w:p>
      <w:r>
        <w:br w:type="page"/>
      </w:r>
    </w:p>
    <w:p>
      <w:pPr>
        <w:pStyle w:val="Heading1"/>
      </w:pPr>
      <w:r>
        <w:t>3 指标如何从高低价构造</w:t>
      </w:r>
    </w:p>
    <w:p>
      <w:pPr>
        <w:widowControl/>
      </w:pPr>
      <w:r>
        <w:rPr>
          <w:rFonts w:ascii="Calibri" w:hAnsi="Calibri" w:eastAsia="微软雅黑"/>
          <w:b w:val="0"/>
          <w:color w:val="000000"/>
          <w:sz w:val="21"/>
        </w:rPr>
        <w:t>研报把每日最低价和最高价作为支撑与阻力的代理。对最近N个交易日的高低价进行带截距回归，描述它们的相对关系。这里的经济含义是待检验的假说，不能由回归公式直接推出未来涨跌。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706"/>
      </w:tblGrid>
      <w:tr>
        <w:trPr>
          <w:cantSplit/>
          <w:tblHeader/>
        </w:trPr>
        <w:tc>
          <w:tcPr>
            <w:tcW w:type="dxa" w:w="1984"/>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指标</w:t>
            </w:r>
          </w:p>
        </w:tc>
        <w:tc>
          <w:tcPr>
            <w:tcW w:type="dxa" w:w="2948"/>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计算表达</w:t>
            </w:r>
          </w:p>
        </w:tc>
        <w:tc>
          <w:tcPr>
            <w:tcW w:type="dxa" w:w="4706"/>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作用与边界</w:t>
            </w:r>
          </w:p>
        </w:tc>
      </w:tr>
      <w:tr>
        <w:trPr>
          <w:cantSplit/>
        </w:trPr>
        <w:tc>
          <w:tcPr>
            <w:tcW w:type="dxa" w:w="198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斜率 β</w:t>
            </w:r>
          </w:p>
        </w:tc>
        <w:tc>
          <w:tcPr>
            <w:tcW w:type="dxa" w:w="294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H = α + βL + ε</w:t>
            </w:r>
          </w:p>
        </w:tc>
        <w:tc>
          <w:tcPr>
            <w:tcW w:type="dxa" w:w="4706"/>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β描述最高价对最低价的线性敏感度</w:t>
            </w:r>
          </w:p>
        </w:tc>
      </w:tr>
      <w:tr>
        <w:trPr>
          <w:cantSplit/>
        </w:trPr>
        <w:tc>
          <w:tcPr>
            <w:tcW w:type="dxa" w:w="198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标准分 z</w:t>
            </w:r>
          </w:p>
        </w:tc>
        <w:tc>
          <w:tcPr>
            <w:tcW w:type="dxa" w:w="294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z = (β − μ) / σ</w:t>
            </w:r>
          </w:p>
        </w:tc>
        <w:tc>
          <w:tcPr>
            <w:tcW w:type="dxa" w:w="4706"/>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衡量当期斜率相对自身历史的位置</w:t>
            </w:r>
          </w:p>
        </w:tc>
      </w:tr>
      <w:tr>
        <w:trPr>
          <w:cantSplit/>
        </w:trPr>
        <w:tc>
          <w:tcPr>
            <w:tcW w:type="dxa" w:w="198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修正标准分</w:t>
            </w:r>
          </w:p>
        </w:tc>
        <w:tc>
          <w:tcPr>
            <w:tcW w:type="dxa" w:w="294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z × R²</w:t>
            </w:r>
          </w:p>
        </w:tc>
        <w:tc>
          <w:tcPr>
            <w:tcW w:type="dxa" w:w="4706"/>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缩小窗口内拟合较差时的信号幅度</w:t>
            </w:r>
          </w:p>
        </w:tc>
      </w:tr>
      <w:tr>
        <w:trPr>
          <w:cantSplit/>
        </w:trPr>
        <w:tc>
          <w:tcPr>
            <w:tcW w:type="dxa" w:w="198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右偏标准分</w:t>
            </w:r>
          </w:p>
        </w:tc>
        <w:tc>
          <w:tcPr>
            <w:tcW w:type="dxa" w:w="294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z × R² × β</w:t>
            </w:r>
          </w:p>
        </w:tc>
        <w:tc>
          <w:tcPr>
            <w:tcW w:type="dxa" w:w="4706"/>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再次调整信号权重与分布</w:t>
            </w:r>
          </w:p>
        </w:tc>
      </w:tr>
    </w:tbl>
    <w:p>
      <w:pPr>
        <w:spacing w:after="0"/>
      </w:pPr>
    </w:p>
    <w:p>
      <w:pPr>
        <w:pStyle w:val="Heading2"/>
      </w:pPr>
      <w:r>
        <w:t>参数为什么分成两套</w:t>
      </w:r>
    </w:p>
    <w:p>
      <w:pPr>
        <w:widowControl/>
      </w:pPr>
      <w:r>
        <w:rPr>
          <w:rFonts w:ascii="Calibri" w:hAnsi="Calibri" w:eastAsia="微软雅黑"/>
          <w:b w:val="0"/>
          <w:color w:val="000000"/>
          <w:sz w:val="21"/>
        </w:rPr>
        <w:t>N是高低价回归窗口，M是斜率标准化窗口。基础斜率、标准分和修正标准分使用N=18，标准化窗口M=600；基础右偏策略使用N=16、M=300。所有过滤版本统一N=18、M=600。</w:t>
      </w:r>
    </w:p>
    <w:p>
      <w:pPr>
        <w:widowControl/>
      </w:pPr>
      <w:r>
        <w:rPr>
          <w:rFonts w:ascii="Calibri" w:hAnsi="Calibri" w:eastAsia="微软雅黑"/>
          <w:b w:val="0"/>
          <w:color w:val="000000"/>
          <w:sz w:val="21"/>
        </w:rPr>
        <w:t>为了区分“指标变换的效果”和“参数改变的效果”，指标比较另外使用右偏(18,600)，策略比较也保留无过滤右偏(18,600)。基础右偏(16,300)与这个对照是两条不同规则。</w:t>
      </w:r>
    </w:p>
    <w:p>
      <w:pPr>
        <w:pStyle w:val="Heading2"/>
      </w:pPr>
      <w:r>
        <w:t>三个容易混淆的地方</w:t>
      </w:r>
    </w:p>
    <w:p>
      <w:pPr>
        <w:widowControl/>
      </w:pPr>
      <w:r>
        <w:rPr>
          <w:rFonts w:ascii="Calibri" w:hAnsi="Calibri" w:eastAsia="微软雅黑"/>
          <w:b w:val="0"/>
          <w:color w:val="000000"/>
          <w:sz w:val="21"/>
        </w:rPr>
        <w:t>第一，R²表示同一个回归窗口内高低价的拟合程度，不是预测未来收益的正确概率。第二，右偏是指标名称，实际分布是否右偏仍需检查。第三，正相关描述总体倾向，不保证单次信号一定正确。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01"/>
        <w:gridCol w:w="1701"/>
        <w:gridCol w:w="1701"/>
        <w:gridCol w:w="1701"/>
      </w:tblGrid>
      <w:tr>
        <w:trPr>
          <w:cantSplit/>
          <w:tblHeader/>
        </w:trPr>
        <w:tc>
          <w:tcPr>
            <w:tcW w:type="dxa" w:w="283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指标</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均值</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标准差</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偏度</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超额峰度</w:t>
            </w:r>
          </w:p>
        </w:tc>
      </w:tr>
      <w:tr>
        <w:trPr>
          <w:cantSplit/>
        </w:trPr>
        <w:tc>
          <w:tcPr>
            <w:tcW w:type="dxa" w:w="283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斜率</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0.902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0.116</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-0.466</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0.987</w:t>
            </w:r>
          </w:p>
        </w:tc>
      </w:tr>
      <w:tr>
        <w:trPr>
          <w:cantSplit/>
        </w:trPr>
        <w:tc>
          <w:tcPr>
            <w:tcW w:type="dxa" w:w="283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标准分</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-0.063</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1.054</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-0.478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1.097</w:t>
            </w:r>
          </w:p>
        </w:tc>
      </w:tr>
      <w:tr>
        <w:trPr>
          <w:cantSplit/>
        </w:trPr>
        <w:tc>
          <w:tcPr>
            <w:tcW w:type="dxa" w:w="283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修正标准分</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0.013</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0.848</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0.120</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0.273</w:t>
            </w:r>
          </w:p>
        </w:tc>
      </w:tr>
      <w:tr>
        <w:trPr>
          <w:cantSplit/>
        </w:trPr>
        <w:tc>
          <w:tcPr>
            <w:tcW w:type="dxa" w:w="283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右偏18 600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0.105</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0.780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0.940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2.041</w:t>
            </w:r>
          </w:p>
        </w:tc>
      </w:tr>
    </w:tbl>
    <w:p>
      <w:pPr>
        <w:spacing w:after="0"/>
      </w:pPr>
    </w:p>
    <w:p>
      <w:pPr>
        <w:widowControl/>
        <w:spacing w:after="100"/>
      </w:pPr>
      <w:r>
        <w:rPr>
          <w:rFonts w:ascii="Calibri" w:hAnsi="Calibri" w:eastAsia="微软雅黑"/>
          <w:b w:val="0"/>
          <w:color w:val="000000"/>
          <w:sz w:val="17"/>
        </w:rPr>
        <w:t>表中均值、标准差、偏度和峰度只描述指标自身分布，不能单独证明预测有效性。数据来源为本研究原报告期distribution.csv，四行均使用N=18的同口径指标族。</w:t>
      </w:r>
    </w:p>
    <w:p>
      <w:r>
        <w:br w:type="page"/>
      </w:r>
    </w:p>
    <w:p>
      <w:pPr>
        <w:pStyle w:val="Heading1"/>
      </w:pPr>
      <w:r>
        <w:t>4 数据 交易规则和统一口径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trPr>
          <w:cantSplit/>
          <w:tblHeader/>
        </w:trPr>
        <w:tc>
          <w:tcPr>
            <w:tcW w:type="dxa" w:w="2324"/>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项目</w:t>
            </w:r>
          </w:p>
        </w:tc>
        <w:tc>
          <w:tcPr>
            <w:tcW w:type="dxa" w:w="7313"/>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本研究设定</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行情</w:t>
            </w:r>
          </w:p>
        </w:tc>
        <w:tc>
          <w:tcPr>
            <w:tcW w:type="dxa" w:w="731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腾讯公开日度价格指数OHLCV 同一来源</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沪深300主样本</w:t>
            </w:r>
          </w:p>
        </w:tc>
        <w:tc>
          <w:tcPr>
            <w:tcW w:type="dxa" w:w="731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2005 04 08 至 2017 04 28</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上证50统计期</w:t>
            </w:r>
          </w:p>
        </w:tc>
        <w:tc>
          <w:tcPr>
            <w:tcW w:type="dxa" w:w="731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2005 04 08 至 2017 04 28 使用更早可得数据预热</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中证500统计期</w:t>
            </w:r>
          </w:p>
        </w:tc>
        <w:tc>
          <w:tcPr>
            <w:tcW w:type="dxa" w:w="731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2007 01 15 至 2017 04 28</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标准化</w:t>
            </w:r>
          </w:p>
        </w:tc>
        <w:tc>
          <w:tcPr>
            <w:tcW w:type="dxa" w:w="731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M日上限 最少10个有效β 含当期 样本标准差</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主表费用</w:t>
            </w:r>
          </w:p>
        </w:tc>
        <w:tc>
          <w:tcPr>
            <w:tcW w:type="dxa" w:w="731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单边0.1% 反手按两次单边换手收费</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账户</w:t>
            </w:r>
          </w:p>
        </w:tc>
        <w:tc>
          <w:tcPr>
            <w:tcW w:type="dxa" w:w="731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多头0或1 多空−1或0或1 现金与无风险利率为0</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异常行情</w:t>
            </w:r>
          </w:p>
        </w:tc>
        <w:tc>
          <w:tcPr>
            <w:tcW w:type="dxa" w:w="731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2015 03 27高低价屏蔽 日期与收盘收益保留</w:t>
            </w:r>
          </w:p>
        </w:tc>
      </w:tr>
    </w:tbl>
    <w:p>
      <w:pPr>
        <w:spacing w:after="0"/>
      </w:pPr>
    </w:p>
    <w:p>
      <w:pPr>
        <w:pStyle w:val="Heading2"/>
      </w:pPr>
      <w:r>
        <w:t>信号和成交必须分开</w:t>
      </w:r>
    </w:p>
    <w:p>
      <w:pPr>
        <w:widowControl/>
      </w:pPr>
      <w:r>
        <w:rPr>
          <w:rFonts w:ascii="Calibri" w:hAnsi="Calibri" w:eastAsia="微软雅黑"/>
          <w:b w:val="0"/>
          <w:color w:val="000000"/>
          <w:sz w:val="21"/>
        </w:rPr>
        <w:t>t日收盘后才能确定当天最高价、最低价及指标。我们在t+1日收盘执行信号，新仓位从t+1至t+2的收益区间才开始承担损益。不能让这笔仓位赚取成交之前的涨幅。</w:t>
      </w:r>
    </w:p>
    <w:p>
      <w:pPr>
        <w:widowControl/>
      </w:pPr>
      <w:r>
        <w:rPr>
          <w:rFonts w:ascii="Calibri" w:hAnsi="Calibri" w:eastAsia="微软雅黑"/>
          <w:b w:val="0"/>
          <w:color w:val="000000"/>
          <w:sz w:val="21"/>
        </w:rPr>
        <w:t>例：收盘价100 → 110 → 121。第一天决定买入，第二天以110成交，第三天获得10%毛收益；100到110这段不属于该笔交易。</w:t>
      </w:r>
    </w:p>
    <w:p>
      <w:pPr>
        <w:pStyle w:val="Heading2"/>
      </w:pPr>
      <w:r>
        <w:t>开平仓状态机</w:t>
      </w:r>
    </w:p>
    <w:p>
      <w:pPr>
        <w:widowControl/>
      </w:pPr>
      <w:r>
        <w:rPr>
          <w:rFonts w:ascii="Calibri" w:hAnsi="Calibri" w:eastAsia="微软雅黑"/>
          <w:b w:val="0"/>
          <w:color w:val="000000"/>
          <w:sz w:val="21"/>
        </w:rPr>
        <w:t>标准分族&gt;0.7发出开多或平空信号，&lt;−0.7发出平多或开空信号。斜率多头使用1.0与0.8阈值。过滤条件只限制新开仓，反向阈值出现时不需要过滤通过即可平仓。</w:t>
      </w:r>
    </w:p>
    <w:p>
      <w:pPr>
        <w:widowControl/>
      </w:pPr>
      <w:r>
        <w:rPr>
          <w:rFonts w:ascii="Calibri" w:hAnsi="Calibri" w:eastAsia="微软雅黑"/>
          <w:b w:val="0"/>
          <w:color w:val="000000"/>
          <w:sz w:val="21"/>
        </w:rPr>
        <w:t>价格过滤开多要求MA20(t−1)&gt;MA20(t−3)，开空要求相反方向；成交量过滤开多和开空都要求前10日成交量与修正标准分相关为正。中性区、恰好等于阈值或指标缺失时保持已有仓位。</w:t>
      </w:r>
    </w:p>
    <w:p>
      <w:pPr>
        <w:widowControl/>
        <w:spacing w:after="100"/>
      </w:pPr>
      <w:r>
        <w:rPr>
          <w:rFonts w:ascii="Calibri" w:hAnsi="Calibri" w:eastAsia="微软雅黑"/>
          <w:b w:val="0"/>
          <w:color w:val="000000"/>
          <w:sz w:val="17"/>
        </w:rPr>
        <w:t>最少10个有效β、标准化端点、缺失值处理和成交时点属于明确的实施约定，不冒充原文全部规定。完整历史先运行，再切片统计；期末不强制平仓。异常日收盘价尚未独立核验。</w:t>
      </w:r>
    </w:p>
    <w:p>
      <w:r>
        <w:br w:type="page"/>
      </w:r>
    </w:p>
    <w:p>
      <w:pPr>
        <w:pStyle w:val="Heading1"/>
      </w:pPr>
      <w:r>
        <w:t>5 指标检验的方法和结果</w:t>
      </w:r>
    </w:p>
    <w:p>
      <w:pPr>
        <w:widowControl/>
      </w:pPr>
      <w:r>
        <w:rPr>
          <w:rFonts w:ascii="Calibri" w:hAnsi="Calibri" w:eastAsia="微软雅黑"/>
          <w:b w:val="0"/>
          <w:color w:val="000000"/>
          <w:sz w:val="21"/>
        </w:rPr>
        <w:t>指标有效性问的是：今天指标较高时，之后市场是否总体表现更好。原文第14至16页以不同指标水平对应的未来10日上涨概率、预期收益及其相关性评价预测性。我们保留这一问题，同时增加逐日配对和统计不确定性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701"/>
        <w:gridCol w:w="1984"/>
        <w:gridCol w:w="1814"/>
        <w:gridCol w:w="1814"/>
      </w:tblGrid>
      <w:tr>
        <w:trPr>
          <w:cantSplit/>
          <w:tblHeader/>
        </w:trPr>
        <w:tc>
          <w:tcPr>
            <w:tcW w:type="dxa" w:w="2324"/>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指标</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逐日相关</w:t>
            </w:r>
          </w:p>
        </w:tc>
        <w:tc>
          <w:tcPr>
            <w:tcW w:type="dxa" w:w="198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执行对齐相关</w:t>
            </w:r>
          </w:p>
        </w:tc>
        <w:tc>
          <w:tcPr>
            <w:tcW w:type="dxa" w:w="181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HAC原始p</w:t>
            </w:r>
          </w:p>
        </w:tc>
        <w:tc>
          <w:tcPr>
            <w:tcW w:type="dxa" w:w="181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Holm校正p</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斜率</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0.141</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0.137</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0.0042</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0.358</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标准分</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0.121</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0.117</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0.0114</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0.761</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修正标准分</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0.147</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0.141</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0.0018</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0.196</w:t>
            </w:r>
          </w:p>
        </w:tc>
      </w:tr>
      <w:tr>
        <w:trPr>
          <w:cantSplit/>
        </w:trPr>
        <w:tc>
          <w:tcPr>
            <w:tcW w:type="dxa" w:w="2324"/>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右偏18 600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0.156</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0.150</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0.0005</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0.061</w:t>
            </w:r>
          </w:p>
        </w:tc>
      </w:tr>
      <w:tr>
        <w:trPr>
          <w:cantSplit/>
        </w:trPr>
        <w:tc>
          <w:tcPr>
            <w:tcW w:type="dxa" w:w="2324"/>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右偏16 300</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0.114</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0.109</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0.0166</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0.948</w:t>
            </w:r>
          </w:p>
        </w:tc>
      </w:tr>
    </w:tbl>
    <w:p>
      <w:pPr>
        <w:spacing w:after="0"/>
      </w:pPr>
    </w:p>
    <w:p>
      <w:pPr>
        <w:pStyle w:val="Heading2"/>
      </w:pPr>
      <w:r>
        <w:t>这些数字怎么读</w:t>
      </w:r>
    </w:p>
    <w:p>
      <w:pPr>
        <w:widowControl/>
      </w:pPr>
      <w:r>
        <w:rPr>
          <w:rFonts w:ascii="Calibri" w:hAnsi="Calibri" w:eastAsia="微软雅黑"/>
          <w:b w:val="0"/>
          <w:color w:val="000000"/>
          <w:sz w:val="21"/>
        </w:rPr>
        <w:t>沪深300右偏(18,600)与未来10日收益的逐日相关系数为0.156；等到次日收盘后起算，仍为0.150。方向合理，但关系强度有限。0.156不是15.6%的胜率，也不是15.6%的策略收益。</w:t>
      </w:r>
    </w:p>
    <w:p>
      <w:pPr>
        <w:widowControl/>
      </w:pPr>
      <w:r>
        <w:rPr>
          <w:rFonts w:ascii="Calibri" w:hAnsi="Calibri" w:eastAsia="微软雅黑"/>
          <w:b w:val="0"/>
          <w:color w:val="000000"/>
          <w:sz w:val="21"/>
        </w:rPr>
        <w:t>四个同参数指标的相关性均为正，修正和右偏相对标准分提高了这项线性相关。不过原始斜率相关性高于标准分，且排序相关性中原始斜率也高于右偏，不能认为指标变换越多就必然越有效。</w:t>
      </w:r>
    </w:p>
    <w:p>
      <w:pPr>
        <w:pStyle w:val="Heading2"/>
      </w:pPr>
      <w:r>
        <w:t>统计检验为什么让表述更谨慎</w:t>
      </w:r>
    </w:p>
    <w:p>
      <w:pPr>
        <w:widowControl/>
      </w:pPr>
      <w:r>
        <w:rPr>
          <w:rFonts w:ascii="Calibri" w:hAnsi="Calibri" w:eastAsia="微软雅黑"/>
          <w:b w:val="0"/>
          <w:color w:val="000000"/>
          <w:sz w:val="21"/>
        </w:rPr>
        <w:t>相邻两天各自向后看10天，区间重叠9天。HAC标准误处理这类依赖，主设定20阶。我们同时检验3市场、5指标、4期限、2种收益起点，共120个主检验，并在每个分期内做Holm校正。</w:t>
      </w:r>
    </w:p>
    <w:p>
      <w:pPr>
        <w:widowControl/>
      </w:pPr>
      <w:r>
        <w:rPr>
          <w:rFonts w:ascii="Calibri" w:hAnsi="Calibri" w:eastAsia="微软雅黑"/>
          <w:b w:val="0"/>
          <w:color w:val="000000"/>
          <w:sz w:val="21"/>
        </w:rPr>
        <w:t>右偏10日检验原始p约0.00053，校正后为0.061，未达到5%门槛。它支持一定历史正关联，但不支持把这个结果说成经过多重检验后仍很强。原报告期120项检验中，仅中证500斜率的5日未延迟标签通过该门槛，不能据此概括为普遍预测力。</w:t>
      </w:r>
    </w:p>
    <w:p>
      <w:pPr>
        <w:pStyle w:val="Heading2"/>
      </w:pPr>
      <w:r>
        <w:t>为什么研报的0点75不能与0点156直接比较</w:t>
      </w:r>
    </w:p>
    <w:p>
      <w:pPr>
        <w:widowControl/>
      </w:pPr>
      <w:r>
        <w:rPr>
          <w:rFonts w:ascii="Calibri" w:hAnsi="Calibri" w:eastAsia="微软雅黑"/>
          <w:b w:val="0"/>
          <w:color w:val="000000"/>
          <w:sz w:val="21"/>
        </w:rPr>
        <w:t>原文右偏指标与未来预期收益报告0.75，从其图表与表述看属于按指标水平汇总后的关系；0.156是每日指标与每日对应未来收益的逐日相关。聚合程度不同，原文分箱细节也未完整披露，不能用两者差值衡量复现误差。</w:t>
      </w:r>
    </w:p>
    <w:p>
      <w:pPr>
        <w:widowControl/>
        <w:spacing w:after="100"/>
      </w:pPr>
      <w:r>
        <w:rPr>
          <w:rFonts w:ascii="Calibri" w:hAnsi="Calibri" w:eastAsia="微软雅黑"/>
          <w:b w:val="0"/>
          <w:color w:val="000000"/>
          <w:sz w:val="17"/>
        </w:rPr>
        <w:t>本表结果来源：predictive.csv。HAC区间和p值基于回归假设；Holm校正不消除所有历史探索影响。全部检验属于回顾性研究。</w:t>
      </w:r>
    </w:p>
    <w:p>
      <w:r>
        <w:br w:type="page"/>
      </w:r>
    </w:p>
    <w:p>
      <w:pPr>
        <w:pStyle w:val="Heading1"/>
      </w:pPr>
      <w:r>
        <w:t>6 分组和预测期限帮助理解信号</w:t>
      </w:r>
    </w:p>
    <w:p>
      <w:pPr>
        <w:keepNext/>
        <w:spacing w:after="40" w:line="240" w:lineRule="auto"/>
        <w:jc w:val="center"/>
      </w:pPr>
      <w:r>
        <w:drawing>
          <wp:inline xmlns:a="http://schemas.openxmlformats.org/drawingml/2006/main" xmlns:pic="http://schemas.openxmlformats.org/drawingml/2006/picture">
            <wp:extent cx="6120000" cy="2369032"/>
            <wp:docPr id="1" name="Picture 1" descr="图1  指标低组与高组存在差异  但中间组并不单调"/>
            <wp:cNvGraphicFramePr>
              <a:graphicFrameLocks noChangeAspect="1"/>
            </wp:cNvGraphicFramePr>
            <a:graphic>
              <a:graphicData uri="http://schemas.openxmlformats.org/drawingml/2006/picture">
                <pic:pic>
                  <pic:nvPicPr>
                    <pic:cNvPr id="0" name="indicator_bins.png"/>
                    <pic:cNvPicPr/>
                  </pic:nvPicPr>
                  <pic:blipFill>
                    <a:blip r:embed="rId10"/>
                    <a:stretch>
                      <a:fillRect/>
                    </a:stretch>
                  </pic:blipFill>
                  <pic:spPr>
                    <a:xfrm>
                      <a:off x="0" y="0"/>
                      <a:ext cx="6120000" cy="2369032"/>
                    </a:xfrm>
                    <a:prstGeom prst="rect"/>
                  </pic:spPr>
                </pic:pic>
              </a:graphicData>
            </a:graphic>
          </wp:inline>
        </w:drawing>
      </w:r>
    </w:p>
    <w:p>
      <w:pPr>
        <w:pStyle w:val="Caption"/>
      </w:pPr>
      <w:r>
        <w:t>图1  指标低组与高组存在差异  但中间组并不单调</w:t>
      </w:r>
    </w:p>
    <w:p>
      <w:pPr>
        <w:widowControl/>
      </w:pPr>
      <w:r>
        <w:rPr>
          <w:rFonts w:ascii="Calibri" w:hAnsi="Calibri" w:eastAsia="微软雅黑"/>
          <w:b w:val="0"/>
          <w:color w:val="000000"/>
          <w:sz w:val="21"/>
        </w:rPr>
        <w:t>右偏(18,600)最高组的未来10日平均收益为2.47%，最低组为−0.60%，两端相差3.07个百分点。这是指标具有一定区分能力的直观证据。但第2组高于第3、4组，不能说指标越高，未来收益就逐级上升。</w:t>
      </w:r>
    </w:p>
    <w:p>
      <w:pPr>
        <w:keepNext/>
        <w:spacing w:after="40" w:line="240" w:lineRule="auto"/>
        <w:jc w:val="center"/>
      </w:pPr>
      <w:r>
        <w:drawing>
          <wp:inline xmlns:a="http://schemas.openxmlformats.org/drawingml/2006/main" xmlns:pic="http://schemas.openxmlformats.org/drawingml/2006/picture">
            <wp:extent cx="6120000" cy="2617781"/>
            <wp:docPr id="2" name="Picture 2" descr="图2  不同预测期限下的相关关系  沪深300原报告期"/>
            <wp:cNvGraphicFramePr>
              <a:graphicFrameLocks noChangeAspect="1"/>
            </wp:cNvGraphicFramePr>
            <a:graphic>
              <a:graphicData uri="http://schemas.openxmlformats.org/drawingml/2006/picture">
                <pic:pic>
                  <pic:nvPicPr>
                    <pic:cNvPr id="0" name="indicator_horizons.png"/>
                    <pic:cNvPicPr/>
                  </pic:nvPicPr>
                  <pic:blipFill>
                    <a:blip r:embed="rId11"/>
                    <a:stretch>
                      <a:fillRect/>
                    </a:stretch>
                  </pic:blipFill>
                  <pic:spPr>
                    <a:xfrm>
                      <a:off x="0" y="0"/>
                      <a:ext cx="6120000" cy="2617781"/>
                    </a:xfrm>
                    <a:prstGeom prst="rect"/>
                  </pic:spPr>
                </pic:pic>
              </a:graphicData>
            </a:graphic>
          </wp:inline>
        </w:drawing>
      </w:r>
    </w:p>
    <w:p>
      <w:pPr>
        <w:pStyle w:val="Caption"/>
      </w:pPr>
      <w:r>
        <w:t>图2  不同预测期限下的相关关系  沪深300原报告期</w:t>
      </w:r>
    </w:p>
    <w:p>
      <w:pPr>
        <w:widowControl/>
      </w:pPr>
      <w:r>
        <w:rPr>
          <w:rFonts w:ascii="Calibri" w:hAnsi="Calibri" w:eastAsia="微软雅黑"/>
          <w:b w:val="0"/>
          <w:color w:val="000000"/>
          <w:sz w:val="21"/>
        </w:rPr>
        <w:t>预测期限改变时，相关性也会变化，因此不能只选一个最好期限来概括全部效果。本研究同时保留1、5、10、20日结果。分组统计、逐日相关、非重叠窗口与回归是同一历史样本的不同观察方式，不能当成多次独立成功。</w:t>
      </w:r>
    </w:p>
    <w:p>
      <w:pPr>
        <w:widowControl/>
        <w:spacing w:after="100"/>
      </w:pPr>
      <w:r>
        <w:rPr>
          <w:rFonts w:ascii="Calibri" w:hAnsi="Calibri" w:eastAsia="微软雅黑"/>
          <w:b w:val="0"/>
          <w:color w:val="000000"/>
          <w:sz w:val="17"/>
        </w:rPr>
        <w:t>图1切点由发表前指标样本的五分位确定，原报告期图为描述性分析；每组有效样本约568至578。图2四条曲线均使用同口径N=18指标，标签从t收盘起算。来源：fixed_bins.csv、predictive.csv。</w:t>
      </w:r>
    </w:p>
    <w:p>
      <w:r>
        <w:br w:type="page"/>
      </w:r>
    </w:p>
    <w:p>
      <w:pPr>
        <w:pStyle w:val="Heading1"/>
      </w:pPr>
      <w:r>
        <w:t>7 基础策略在原报告期的效果</w:t>
      </w:r>
    </w:p>
    <w:p>
      <w:pPr>
        <w:widowControl/>
      </w:pPr>
      <w:r>
        <w:rPr>
          <w:rFonts w:ascii="Calibri" w:hAnsi="Calibri" w:eastAsia="微软雅黑"/>
          <w:b w:val="0"/>
          <w:color w:val="000000"/>
          <w:sz w:val="21"/>
        </w:rPr>
        <w:t>把指标变为买卖规则后，需要同时评价收益和风险。以下为四个基础多头策略，使用原文各自的参数，已经计入统一交易费用。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814"/>
        <w:gridCol w:w="1474"/>
        <w:gridCol w:w="2381"/>
      </w:tblGrid>
      <w:tr>
        <w:trPr>
          <w:cantSplit/>
          <w:tblHeader/>
        </w:trPr>
        <w:tc>
          <w:tcPr>
            <w:tcW w:type="dxa" w:w="3969"/>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策略</w:t>
            </w:r>
          </w:p>
        </w:tc>
        <w:tc>
          <w:tcPr>
            <w:tcW w:type="dxa" w:w="181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47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238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买入持有</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11.24%</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0.51</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-72.30%</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斜率</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22.79%</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1.13</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-48.40%</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标准分</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20.71%</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1.09</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-50.71%</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修正标准分</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20.54%</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1.09</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-45.34%</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右偏(16,300)</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22.20%</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1.04</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-56.58%</w:t>
            </w:r>
          </w:p>
        </w:tc>
      </w:tr>
    </w:tbl>
    <w:p>
      <w:pPr>
        <w:spacing w:after="0"/>
      </w:pPr>
    </w:p>
    <w:p>
      <w:pPr>
        <w:keepNext/>
        <w:spacing w:after="40" w:line="240" w:lineRule="auto"/>
        <w:jc w:val="center"/>
      </w:pPr>
      <w:r>
        <w:drawing>
          <wp:inline xmlns:a="http://schemas.openxmlformats.org/drawingml/2006/main" xmlns:pic="http://schemas.openxmlformats.org/drawingml/2006/picture">
            <wp:extent cx="6120000" cy="2716490"/>
            <wp:docPr id="3" name="Picture 3" descr="图3  基础策略与买入持有的净值  次日收盘成交并扣费"/>
            <wp:cNvGraphicFramePr>
              <a:graphicFrameLocks noChangeAspect="1"/>
            </wp:cNvGraphicFramePr>
            <a:graphic>
              <a:graphicData uri="http://schemas.openxmlformats.org/drawingml/2006/picture">
                <pic:pic>
                  <pic:nvPicPr>
                    <pic:cNvPr id="0" name="basic_nav.png"/>
                    <pic:cNvPicPr/>
                  </pic:nvPicPr>
                  <pic:blipFill>
                    <a:blip r:embed="rId12"/>
                    <a:stretch>
                      <a:fillRect/>
                    </a:stretch>
                  </pic:blipFill>
                  <pic:spPr>
                    <a:xfrm>
                      <a:off x="0" y="0"/>
                      <a:ext cx="6120000" cy="2716490"/>
                    </a:xfrm>
                    <a:prstGeom prst="rect"/>
                  </pic:spPr>
                </pic:pic>
              </a:graphicData>
            </a:graphic>
          </wp:inline>
        </w:drawing>
      </w:r>
    </w:p>
    <w:p>
      <w:pPr>
        <w:pStyle w:val="Caption"/>
      </w:pPr>
      <w:r>
        <w:t>图3  基础策略与买入持有的净值  次日收盘成交并扣费</w:t>
      </w:r>
    </w:p>
    <w:p>
      <w:pPr>
        <w:widowControl/>
      </w:pPr>
      <w:r>
        <w:rPr>
          <w:rFonts w:ascii="Calibri" w:hAnsi="Calibri" w:eastAsia="微软雅黑"/>
          <w:b w:val="0"/>
          <w:color w:val="000000"/>
          <w:sz w:val="21"/>
        </w:rPr>
        <w:t>四个基础策略年化收益约20.54%至22.79%，均高于买入持有的11.24%，夏普也较高。这支持它们在该区间具有较好的样本内回测效果。</w:t>
      </w:r>
    </w:p>
    <w:p>
      <w:pPr>
        <w:widowControl/>
      </w:pPr>
      <w:r>
        <w:rPr>
          <w:rFonts w:ascii="Calibri" w:hAnsi="Calibri" w:eastAsia="微软雅黑"/>
          <w:b w:val="0"/>
          <w:color w:val="000000"/>
          <w:sz w:val="21"/>
        </w:rPr>
        <w:t>但最大回撤仍约45%至57%，意味着资金从某个高点一度损失接近一半。年化收益高不代表每年都赚钱，更不代表风险已经得到充分控制。</w:t>
      </w:r>
    </w:p>
    <w:p>
      <w:pPr>
        <w:widowControl/>
        <w:spacing w:after="100"/>
      </w:pPr>
      <w:r>
        <w:rPr>
          <w:rFonts w:ascii="Calibri" w:hAnsi="Calibri" w:eastAsia="微软雅黑"/>
          <w:b w:val="0"/>
          <w:color w:val="000000"/>
          <w:sz w:val="17"/>
        </w:rPr>
        <w:t>图3线条使用每日净收益连续复合。原报告期基础右偏用N=16、M=300，不能仅凭它和标准分的收益差把全部效果归因于指标变换。</w:t>
      </w:r>
    </w:p>
    <w:p>
      <w:r>
        <w:br w:type="page"/>
      </w:r>
    </w:p>
    <w:p>
      <w:pPr>
        <w:pStyle w:val="Heading1"/>
      </w:pPr>
      <w:r>
        <w:t>8 同参数比较量价过滤的作用</w:t>
      </w:r>
    </w:p>
    <w:p>
      <w:pPr>
        <w:widowControl/>
      </w:pPr>
      <w:r>
        <w:rPr>
          <w:rFonts w:ascii="Calibri" w:hAnsi="Calibri" w:eastAsia="微软雅黑"/>
          <w:b w:val="0"/>
          <w:color w:val="000000"/>
          <w:sz w:val="21"/>
        </w:rPr>
        <w:t>这里将右偏指标固定为N=18、M=600，仅比较是否增加原文的开仓过滤，避免把基础右偏(16,300)的参数差异混入过滤效果。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31"/>
        <w:gridCol w:w="1134"/>
        <w:gridCol w:w="1701"/>
        <w:gridCol w:w="1757"/>
      </w:tblGrid>
      <w:tr>
        <w:trPr>
          <w:cantSplit/>
          <w:tblHeader/>
        </w:trPr>
        <w:tc>
          <w:tcPr>
            <w:tcW w:type="dxa" w:w="351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策略</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13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c>
          <w:tcPr>
            <w:tcW w:type="dxa" w:w="1757"/>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绝对仓位</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右偏(18,600)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17.73%</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-50.24%</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48.41%</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价格过滤·右偏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1.33</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32.14%</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量过滤·右偏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21.79%</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1.29</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-18.09%</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36.13%</w:t>
            </w:r>
          </w:p>
        </w:tc>
      </w:tr>
    </w:tbl>
    <w:p>
      <w:pPr>
        <w:spacing w:after="0"/>
      </w:pPr>
    </w:p>
    <w:p>
      <w:pPr>
        <w:keepNext/>
        <w:spacing w:after="40" w:line="240" w:lineRule="auto"/>
        <w:jc w:val="center"/>
      </w:pPr>
      <w:r>
        <w:drawing>
          <wp:inline xmlns:a="http://schemas.openxmlformats.org/drawingml/2006/main" xmlns:pic="http://schemas.openxmlformats.org/drawingml/2006/picture">
            <wp:extent cx="6120000" cy="3652258"/>
            <wp:docPr id="4" name="Picture 4" descr="图4  同参数过滤对照的净值与回撤  只过滤开仓"/>
            <wp:cNvGraphicFramePr>
              <a:graphicFrameLocks noChangeAspect="1"/>
            </wp:cNvGraphicFramePr>
            <a:graphic>
              <a:graphicData uri="http://schemas.openxmlformats.org/drawingml/2006/picture">
                <pic:pic>
                  <pic:nvPicPr>
                    <pic:cNvPr id="0" name="filter_nav.png"/>
                    <pic:cNvPicPr/>
                  </pic:nvPicPr>
                  <pic:blipFill>
                    <a:blip r:embed="rId13"/>
                    <a:stretch>
                      <a:fillRect/>
                    </a:stretch>
                  </pic:blipFill>
                  <pic:spPr>
                    <a:xfrm>
                      <a:off x="0" y="0"/>
                      <a:ext cx="6120000" cy="3652258"/>
                    </a:xfrm>
                    <a:prstGeom prst="rect"/>
                  </pic:spPr>
                </pic:pic>
              </a:graphicData>
            </a:graphic>
          </wp:inline>
        </w:drawing>
      </w:r>
    </w:p>
    <w:p>
      <w:pPr>
        <w:pStyle w:val="Caption"/>
      </w:pPr>
      <w:r>
        <w:t>图4  同参数过滤对照的净值与回撤  只过滤开仓</w:t>
      </w:r>
    </w:p>
    <w:p>
      <w:pPr>
        <w:widowControl/>
      </w:pPr>
      <w:r>
        <w:rPr>
          <w:rFonts w:ascii="Calibri" w:hAnsi="Calibri" w:eastAsia="微软雅黑"/>
          <w:b w:val="0"/>
          <w:color w:val="000000"/>
          <w:sz w:val="21"/>
        </w:rPr>
        <w:t>价格过滤将年化收益由17.73%提高至21.72%，最大回撤从−50.24%缩小至−16.63%；成交量过滤也提高收益并降低回撤。它们在这段历史中改善了收益与风险的组合。</w:t>
      </w:r>
    </w:p>
    <w:p>
      <w:pPr>
        <w:widowControl/>
      </w:pPr>
      <w:r>
        <w:rPr>
          <w:rFonts w:ascii="Calibri" w:hAnsi="Calibri" w:eastAsia="微软雅黑"/>
          <w:b w:val="0"/>
          <w:color w:val="000000"/>
          <w:sz w:val="21"/>
        </w:rPr>
        <w:t>价格过滤的平均持仓比例从48.41%降至32.14%。回撤下降包含较少市场暴露的贡献，不能全部归因于预测更准确；但收益也提高，说明结果不只是简单少持仓。</w:t>
      </w:r>
    </w:p>
    <w:p>
      <w:pPr>
        <w:widowControl/>
        <w:spacing w:after="100"/>
      </w:pPr>
      <w:r>
        <w:rPr>
          <w:rFonts w:ascii="Calibri" w:hAnsi="Calibri" w:eastAsia="微软雅黑"/>
          <w:b w:val="0"/>
          <w:color w:val="000000"/>
          <w:sz w:val="17"/>
        </w:rPr>
        <w:t>图4直接来自同一账户口径的逐日收益。该对照描述固定样本的规则效果，不证明特定经济机制，也不保证未来复制。</w:t>
      </w:r>
    </w:p>
    <w:p>
      <w:r>
        <w:br w:type="page"/>
      </w:r>
    </w:p>
    <w:p>
      <w:pPr>
        <w:pStyle w:val="Heading1"/>
      </w:pPr>
      <w:r>
        <w:t>9 六种过滤多头策略和技术基线</w:t>
      </w:r>
    </w:p>
    <w:p>
      <w:pPr>
        <w:widowControl/>
      </w:pPr>
      <w:r>
        <w:rPr>
          <w:rFonts w:ascii="Calibri" w:hAnsi="Calibri" w:eastAsia="微软雅黑"/>
          <w:b w:val="0"/>
          <w:color w:val="000000"/>
          <w:sz w:val="21"/>
        </w:rPr>
        <w:t>不能因为研报强调右偏，就只展示右偏结果。六个过滤多头组合均使用N=18、M=600和±0.7阈值，以下完整保留。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31"/>
        <w:gridCol w:w="1134"/>
        <w:gridCol w:w="1701"/>
        <w:gridCol w:w="1757"/>
      </w:tblGrid>
      <w:tr>
        <w:trPr>
          <w:cantSplit/>
          <w:tblHeader/>
        </w:trPr>
        <w:tc>
          <w:tcPr>
            <w:tcW w:type="dxa" w:w="351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策略</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13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c>
          <w:tcPr>
            <w:tcW w:type="dxa" w:w="1757"/>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绝对仓位</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价格过滤·标准分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21.97%</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1.43</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-17.25%</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29.07%</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量过滤·标准分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21.83%</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1.38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-21.22%</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33.16%</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价格过滤·修正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23.72%</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1.52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-15.76%</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30.19%</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量过滤·修正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22.68%</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1.45</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-15.76%</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32.48%</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价格过滤·右偏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21.72%</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1.33</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-16.63%</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32.14%</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量过滤·右偏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21.79%</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1.29</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-18.09%</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36.13%</w:t>
            </w:r>
          </w:p>
        </w:tc>
      </w:tr>
    </w:tbl>
    <w:p>
      <w:pPr>
        <w:spacing w:after="0"/>
      </w:pPr>
    </w:p>
    <w:p>
      <w:pPr>
        <w:widowControl/>
      </w:pPr>
      <w:r>
        <w:rPr>
          <w:rFonts w:ascii="Calibri" w:hAnsi="Calibri" w:eastAsia="微软雅黑"/>
          <w:b w:val="0"/>
          <w:color w:val="000000"/>
          <w:sz w:val="21"/>
        </w:rPr>
        <w:t>价格过滤修正标准分年化收益23.72%、夏普1.52、最大回撤−15.76%，在这六个组合中优于价格过滤右偏的主要风险收益指标。当前结果支持原文量价过滤的价值，但没有复现出“右偏一定最优”的普遍排序。</w:t>
      </w:r>
    </w:p>
    <w:p>
      <w:pPr>
        <w:pStyle w:val="Heading2"/>
      </w:pPr>
      <w:r>
        <w:t>加入普通技术策略作正式对照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814"/>
        <w:gridCol w:w="1474"/>
        <w:gridCol w:w="2381"/>
      </w:tblGrid>
      <w:tr>
        <w:trPr>
          <w:cantSplit/>
          <w:tblHeader/>
        </w:trPr>
        <w:tc>
          <w:tcPr>
            <w:tcW w:type="dxa" w:w="3969"/>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策略</w:t>
            </w:r>
          </w:p>
        </w:tc>
        <w:tc>
          <w:tcPr>
            <w:tcW w:type="dxa" w:w="181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47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238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买入持有</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11.24%</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0.51</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-72.30%</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MA20</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18.15%</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0.96</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-28.96%</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BOLL(14,2)</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19.49%</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1.06</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-27.42%</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价格过滤·右偏</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1.33</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bl>
    <w:p>
      <w:pPr>
        <w:spacing w:after="0"/>
      </w:pPr>
    </w:p>
    <w:p>
      <w:pPr>
        <w:widowControl/>
      </w:pPr>
      <w:r>
        <w:rPr>
          <w:rFonts w:ascii="Calibri" w:hAnsi="Calibri" w:eastAsia="微软雅黑"/>
          <w:b w:val="0"/>
          <w:color w:val="000000"/>
          <w:sz w:val="21"/>
        </w:rPr>
        <w:t>MA20和布林带也分别取得18.15%和19.49%的年化收益，说明这段历史对一些趋势择时方式同样有利。价格过滤右偏在收益、夏普和最大回撤上优于这两个基线，但本研究没有对原报告期策略收益差构造完整的显著性结论。</w:t>
      </w:r>
    </w:p>
    <w:p>
      <w:pPr>
        <w:pStyle w:val="Heading2"/>
      </w:pPr>
      <w:r>
        <w:t>可以说到什么程度</w:t>
      </w:r>
    </w:p>
    <w:p>
      <w:pPr>
        <w:widowControl/>
      </w:pPr>
      <w:r>
        <w:rPr>
          <w:rFonts w:ascii="Calibri" w:hAnsi="Calibri" w:eastAsia="微软雅黑"/>
          <w:b w:val="0"/>
          <w:color w:val="000000"/>
          <w:sz w:val="21"/>
        </w:rPr>
        <w:t>可以说“在统一成本与执行口径下，过滤RSRS在这段历史中的收益风险表现较好”。不能说“已经证明RSRS有独有且稳定的超额收益”。策略排名是样本结果，不能用样本中的最优组合回头替换研究规则。</w:t>
      </w:r>
    </w:p>
    <w:p>
      <w:pPr>
        <w:widowControl/>
        <w:spacing w:after="100"/>
      </w:pPr>
      <w:r>
        <w:rPr>
          <w:rFonts w:ascii="Calibri" w:hAnsi="Calibri" w:eastAsia="微软雅黑"/>
          <w:b w:val="0"/>
          <w:color w:val="000000"/>
          <w:sz w:val="17"/>
        </w:rPr>
        <w:t>夏普为日收益均值除以日收益样本标准差后乘√252，无风险利率为0；它衡量收益相对于波动，不是获利概率。MA20和布林带为多头空仓规则。</w:t>
      </w:r>
    </w:p>
    <w:p>
      <w:r>
        <w:br w:type="page"/>
      </w:r>
    </w:p>
    <w:p>
      <w:pPr>
        <w:pStyle w:val="Heading1"/>
      </w:pPr>
      <w:r>
        <w:t>10 多空版本的收益和风险取舍</w:t>
      </w:r>
    </w:p>
    <w:p>
      <w:pPr>
        <w:widowControl/>
      </w:pPr>
      <w:r>
        <w:rPr>
          <w:rFonts w:ascii="Calibri" w:hAnsi="Calibri" w:eastAsia="微软雅黑"/>
          <w:b w:val="0"/>
          <w:color w:val="000000"/>
          <w:sz w:val="21"/>
        </w:rPr>
        <w:t>多空规则按原文第3.1、3.2节实现。价格过滤开空要求均线向下；成交量过滤开空仍要求量与修正标准分相关为正。反向阈值先平旧仓，反向过滤也通过才反手。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814"/>
        <w:gridCol w:w="1474"/>
        <w:gridCol w:w="2381"/>
      </w:tblGrid>
      <w:tr>
        <w:trPr>
          <w:cantSplit/>
          <w:tblHeader/>
        </w:trPr>
        <w:tc>
          <w:tcPr>
            <w:tcW w:type="dxa" w:w="3969"/>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策略</w:t>
            </w:r>
          </w:p>
        </w:tc>
        <w:tc>
          <w:tcPr>
            <w:tcW w:type="dxa" w:w="181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47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238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多空·价格过滤·标准分</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24.96%</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1.04</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-27.08%</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多空·价格过滤·修正</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25.15%</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1.03</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-27.63%</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多空·价格过滤·右偏</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26.42%</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1.10</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-27.63%</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多空·量过滤·标准分</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23.29%</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0.95</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-26.81%</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多空·量过滤·修正</w:t>
            </w:r>
          </w:p>
        </w:tc>
        <w:tc>
          <w:tcPr>
            <w:tcW w:type="dxa" w:w="181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23.62%</w:t>
            </w:r>
          </w:p>
        </w:tc>
        <w:tc>
          <w:tcPr>
            <w:tcW w:type="dxa" w:w="147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0.96</w:t>
            </w:r>
          </w:p>
        </w:tc>
        <w:tc>
          <w:tcPr>
            <w:tcW w:type="dxa" w:w="238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-26.95%</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多空·量过滤·右偏</w:t>
            </w:r>
          </w:p>
        </w:tc>
        <w:tc>
          <w:tcPr>
            <w:tcW w:type="dxa" w:w="181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22.06%</w:t>
            </w:r>
          </w:p>
        </w:tc>
        <w:tc>
          <w:tcPr>
            <w:tcW w:type="dxa" w:w="147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0.90</w:t>
            </w:r>
          </w:p>
        </w:tc>
        <w:tc>
          <w:tcPr>
            <w:tcW w:type="dxa" w:w="238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-32.65%</w:t>
            </w:r>
          </w:p>
        </w:tc>
      </w:tr>
    </w:tbl>
    <w:p>
      <w:pPr>
        <w:spacing w:after="0"/>
      </w:pPr>
    </w:p>
    <w:p>
      <w:pPr>
        <w:keepNext/>
        <w:spacing w:after="40" w:line="240" w:lineRule="auto"/>
        <w:jc w:val="center"/>
      </w:pPr>
      <w:r>
        <w:drawing>
          <wp:inline xmlns:a="http://schemas.openxmlformats.org/drawingml/2006/main" xmlns:pic="http://schemas.openxmlformats.org/drawingml/2006/picture">
            <wp:extent cx="6120000" cy="3652258"/>
            <wp:docPr id="5" name="Picture 5" descr="图5  价格过滤右偏多头与多空的净值和回撤"/>
            <wp:cNvGraphicFramePr>
              <a:graphicFrameLocks noChangeAspect="1"/>
            </wp:cNvGraphicFramePr>
            <a:graphic>
              <a:graphicData uri="http://schemas.openxmlformats.org/drawingml/2006/picture">
                <pic:pic>
                  <pic:nvPicPr>
                    <pic:cNvPr id="0" name="short_nav.png"/>
                    <pic:cNvPicPr/>
                  </pic:nvPicPr>
                  <pic:blipFill>
                    <a:blip r:embed="rId14"/>
                    <a:stretch>
                      <a:fillRect/>
                    </a:stretch>
                  </pic:blipFill>
                  <pic:spPr>
                    <a:xfrm>
                      <a:off x="0" y="0"/>
                      <a:ext cx="6120000" cy="3652258"/>
                    </a:xfrm>
                    <a:prstGeom prst="rect"/>
                  </pic:spPr>
                </pic:pic>
              </a:graphicData>
            </a:graphic>
          </wp:inline>
        </w:drawing>
      </w:r>
    </w:p>
    <w:p>
      <w:pPr>
        <w:pStyle w:val="Caption"/>
      </w:pPr>
      <w:r>
        <w:t>图5  价格过滤右偏多头与多空的净值和回撤</w:t>
      </w:r>
    </w:p>
    <w:p>
      <w:pPr>
        <w:widowControl/>
      </w:pPr>
      <w:r>
        <w:rPr>
          <w:rFonts w:ascii="Calibri" w:hAnsi="Calibri" w:eastAsia="微软雅黑"/>
          <w:b w:val="0"/>
          <w:color w:val="000000"/>
          <w:sz w:val="21"/>
        </w:rPr>
        <w:t>价格过滤右偏增加做空后，年化收益从21.72%升至26.42%，最大回撤却从−16.63%扩大到−27.63%，夏普从1.33降至1.10。更高收益伴随更大风险，不能说多空全面更好。</w:t>
      </w:r>
    </w:p>
    <w:p>
      <w:pPr>
        <w:widowControl/>
        <w:spacing w:after="100"/>
      </w:pPr>
      <w:r>
        <w:rPr>
          <w:rFonts w:ascii="Calibri" w:hAnsi="Calibri" w:eastAsia="微软雅黑"/>
          <w:b w:val="0"/>
          <w:color w:val="000000"/>
          <w:sz w:val="17"/>
        </w:rPr>
        <w:t>图5与上表均为有符号日度指数暴露模拟，主表空头持有费为0，不包含真实借券、股息补偿、基差、保证金或展期。其余五个多空组合没有原文逐项披露的绩效表可一一对照。</w:t>
      </w:r>
    </w:p>
    <w:p>
      <w:r>
        <w:br w:type="page"/>
      </w:r>
    </w:p>
    <w:p>
      <w:pPr>
        <w:pStyle w:val="Heading1"/>
      </w:pPr>
      <w:r>
        <w:t>11 跨市场结果及其比较边界</w:t>
      </w:r>
    </w:p>
    <w:p>
      <w:pPr>
        <w:widowControl/>
      </w:pPr>
      <w:r>
        <w:rPr>
          <w:rFonts w:ascii="Calibri" w:hAnsi="Calibri" w:eastAsia="微软雅黑"/>
          <w:b w:val="0"/>
          <w:color w:val="000000"/>
          <w:sz w:val="21"/>
        </w:rPr>
        <w:t>原文用价格过滤右偏验证上证50和中证500。本研究把20条规则都计算到三个市场；此处用代表性组合说明同规则在其他指数上的表现，完整补充市场成绩见附录。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1701"/>
        <w:gridCol w:w="1417"/>
        <w:gridCol w:w="1984"/>
      </w:tblGrid>
      <w:tr>
        <w:trPr>
          <w:cantSplit/>
          <w:tblHeader/>
        </w:trPr>
        <w:tc>
          <w:tcPr>
            <w:tcW w:type="dxa" w:w="1701"/>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市场</w:t>
            </w:r>
          </w:p>
        </w:tc>
        <w:tc>
          <w:tcPr>
            <w:tcW w:type="dxa" w:w="283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策略</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1417"/>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夏普</w:t>
            </w:r>
          </w:p>
        </w:tc>
        <w:tc>
          <w:tcPr>
            <w:tcW w:type="dxa" w:w="198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沪深300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买入持有</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11.24%</w:t>
            </w:r>
          </w:p>
        </w:tc>
        <w:tc>
          <w:tcPr>
            <w:tcW w:type="dxa" w:w="141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0.51</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-72.30%</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沪深300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右偏过滤多头</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141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1.33</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沪深300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右偏过滤多空</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26.42%</w:t>
            </w:r>
          </w:p>
        </w:tc>
        <w:tc>
          <w:tcPr>
            <w:tcW w:type="dxa" w:w="141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1.10</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-27.63%</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上证50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买入持有</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9.41%</w:t>
            </w:r>
          </w:p>
        </w:tc>
        <w:tc>
          <w:tcPr>
            <w:tcW w:type="dxa" w:w="141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0.45</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-72.41%</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上证50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右偏过滤多头</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18.49%</w:t>
            </w:r>
          </w:p>
        </w:tc>
        <w:tc>
          <w:tcPr>
            <w:tcW w:type="dxa" w:w="141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1.07</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-30.26%</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上证50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右偏过滤多空</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15.31%</w:t>
            </w:r>
          </w:p>
        </w:tc>
        <w:tc>
          <w:tcPr>
            <w:tcW w:type="dxa" w:w="141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0.70</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-39.52%</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中证500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买入持有</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11.77%</w:t>
            </w:r>
          </w:p>
        </w:tc>
        <w:tc>
          <w:tcPr>
            <w:tcW w:type="dxa" w:w="141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0.50</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-72.42%</w:t>
            </w:r>
          </w:p>
        </w:tc>
      </w:tr>
      <w:tr>
        <w:trPr>
          <w:cantSplit/>
        </w:trPr>
        <w:tc>
          <w:tcPr>
            <w:tcW w:type="dxa" w:w="1701"/>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中证500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右偏过滤多头</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23.08%</w:t>
            </w:r>
          </w:p>
        </w:tc>
        <w:tc>
          <w:tcPr>
            <w:tcW w:type="dxa" w:w="141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1.21</w:t>
            </w:r>
          </w:p>
        </w:tc>
        <w:tc>
          <w:tcPr>
            <w:tcW w:type="dxa" w:w="198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-25.44%</w:t>
            </w:r>
          </w:p>
        </w:tc>
      </w:tr>
      <w:tr>
        <w:trPr>
          <w:cantSplit/>
        </w:trPr>
        <w:tc>
          <w:tcPr>
            <w:tcW w:type="dxa" w:w="1701"/>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中证500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右偏过滤多空</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30.75%</w:t>
            </w:r>
          </w:p>
        </w:tc>
        <w:tc>
          <w:tcPr>
            <w:tcW w:type="dxa" w:w="141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1.16</w:t>
            </w:r>
          </w:p>
        </w:tc>
        <w:tc>
          <w:tcPr>
            <w:tcW w:type="dxa" w:w="198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-38.36%</w:t>
            </w:r>
          </w:p>
        </w:tc>
      </w:tr>
    </w:tbl>
    <w:p>
      <w:pPr>
        <w:spacing w:after="0"/>
      </w:pPr>
    </w:p>
    <w:p>
      <w:pPr>
        <w:pStyle w:val="Heading2"/>
      </w:pPr>
      <w:r>
        <w:t>哪些结论得到支持</w:t>
      </w:r>
    </w:p>
    <w:p>
      <w:pPr>
        <w:widowControl/>
      </w:pPr>
      <w:r>
        <w:rPr>
          <w:rFonts w:ascii="Calibri" w:hAnsi="Calibri" w:eastAsia="微软雅黑"/>
          <w:b w:val="0"/>
          <w:color w:val="000000"/>
          <w:sz w:val="21"/>
        </w:rPr>
        <w:t>代表性价格过滤右偏多头在三个市场的年化收益都高于各自买入持有，最大回撤也较小。这说明原报告期的样本内效果并非只出现在沪深300。</w:t>
      </w:r>
    </w:p>
    <w:p>
      <w:pPr>
        <w:widowControl/>
      </w:pPr>
      <w:r>
        <w:rPr>
          <w:rFonts w:ascii="Calibri" w:hAnsi="Calibri" w:eastAsia="微软雅黑"/>
          <w:b w:val="0"/>
          <w:color w:val="000000"/>
          <w:sz w:val="21"/>
        </w:rPr>
        <w:t>做空的增益并不一致：上证50价格过滤右偏多空的年化收益15.31%，低于多头的18.49%，最大回撤也更大；中证500多空收益较高，但同样承担更深回撤。不能从沪深300的多空结果推出所有市场都受益。</w:t>
      </w:r>
    </w:p>
    <w:p>
      <w:pPr>
        <w:pStyle w:val="Heading2"/>
      </w:pPr>
      <w:r>
        <w:t>样本长度不能忽略</w:t>
      </w:r>
    </w:p>
    <w:p>
      <w:pPr>
        <w:widowControl/>
      </w:pPr>
      <w:r>
        <w:rPr>
          <w:rFonts w:ascii="Calibri" w:hAnsi="Calibri" w:eastAsia="微软雅黑"/>
          <w:b w:val="0"/>
          <w:color w:val="000000"/>
          <w:sz w:val="21"/>
        </w:rPr>
        <w:t>沪深300和上证50主统计期为2005年4月至2017年4月；中证500从2007年1月起。中证500没有覆盖2005至2006年的行情，不能把三市场的年化排序当成严格同期间的优劣排名，也不能声称已完整复现原文中证500的早期结果。</w:t>
      </w:r>
    </w:p>
    <w:p>
      <w:pPr>
        <w:widowControl/>
        <w:spacing w:after="100"/>
      </w:pPr>
      <w:r>
        <w:rPr>
          <w:rFonts w:ascii="Calibri" w:hAnsi="Calibri" w:eastAsia="微软雅黑"/>
          <w:b w:val="0"/>
          <w:color w:val="000000"/>
          <w:sz w:val="17"/>
        </w:rPr>
        <w:t>原文第23至24页使用约2005年3月至2017年3月的跨市场示例，并报告双边0.6%成本情景。本研究当前两个补充市场有主费用与零费用结果，未完整补齐原文较高费用情景。</w:t>
      </w:r>
    </w:p>
    <w:p>
      <w:r>
        <w:br w:type="page"/>
      </w:r>
    </w:p>
    <w:p>
      <w:pPr>
        <w:pStyle w:val="Heading1"/>
      </w:pPr>
      <w:r>
        <w:t>12 成本和执行延迟的稳健性</w:t>
      </w:r>
    </w:p>
    <w:p>
      <w:pPr>
        <w:widowControl/>
      </w:pPr>
      <w:r>
        <w:rPr>
          <w:rFonts w:ascii="Calibri" w:hAnsi="Calibri" w:eastAsia="微软雅黑"/>
          <w:b w:val="0"/>
          <w:color w:val="000000"/>
          <w:sz w:val="21"/>
        </w:rPr>
        <w:t>下面按原报告期、次日收盘成交，完整列出20条规则在不同单边交易费下的年化收益。费用变化属于独立情景，不用于替换主表0.1%的设定。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31"/>
        <w:gridCol w:w="1531"/>
        <w:gridCol w:w="1531"/>
        <w:gridCol w:w="1531"/>
      </w:tblGrid>
      <w:tr>
        <w:trPr>
          <w:cantSplit/>
          <w:tblHeader/>
        </w:trPr>
        <w:tc>
          <w:tcPr>
            <w:tcW w:type="dxa" w:w="351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7"/>
              </w:rPr>
              <w:t>策略</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零费用</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单边0.1%</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单边0.2%</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单边0.3%</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买入持有</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11.25%</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11.24%</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11.23%</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11.22%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MA20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21.07%</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18.15%</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15.30%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12.51%</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BOLL(14,2)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20.16%</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19.49%</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18.82%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18.16%</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斜率</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23.74%</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22.79%</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21.84%</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20.90%</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21.72%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20.71%</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19.70%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18.70%</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修正标准分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21.44%</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20.54%</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19.64%</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18.74%</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右偏(16,300)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22.97%</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22.20%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21.43%</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20.67%</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22.62%</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21.97%</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21.33%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20.69%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22.64%</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21.83%</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21.02%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20.22%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24.30%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23.72%</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23.13%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22.55%</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23.36%</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22.68%</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21.99%</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21.31%</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22.23%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21.72%</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21.20%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20.69%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22.41%</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21.79%</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21.17%</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20.55%</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右偏(18,600)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18.53%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17.73%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16.93%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16.14%</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26.41%</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24.96%</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23.53%</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22.12%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26.49%</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25.15%</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23.83%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22.52%</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27.55%</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26.42%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25.30%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24.18%</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24.98%</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23.29%</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21.63%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19.99%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25.09%</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23.62%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22.17%</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20.73%</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23.43%</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22.06%</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20.71%</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19.37%</w:t>
            </w:r>
          </w:p>
        </w:tc>
      </w:tr>
    </w:tbl>
    <w:p>
      <w:pPr>
        <w:spacing w:after="0"/>
      </w:pPr>
    </w:p>
    <w:p>
      <w:pPr>
        <w:widowControl/>
      </w:pPr>
      <w:r>
        <w:rPr>
          <w:rFonts w:ascii="Calibri" w:hAnsi="Calibri" w:eastAsia="微软雅黑"/>
          <w:b w:val="0"/>
          <w:color w:val="000000"/>
          <w:sz w:val="21"/>
        </w:rPr>
        <w:t>价格过滤右偏多头在单边0.3%下仍有20.69%年化收益，多空为24.18%。在已测范围内，交易费没有消除该原报告期的历史收益表现，但这不包含全部真实交易摩擦。</w:t>
      </w:r>
    </w:p>
    <w:p>
      <w:pPr>
        <w:widowControl/>
      </w:pPr>
      <w:r>
        <w:rPr>
          <w:rFonts w:ascii="Calibri" w:hAnsi="Calibri" w:eastAsia="微软雅黑"/>
          <w:b w:val="0"/>
          <w:color w:val="000000"/>
          <w:sz w:val="21"/>
        </w:rPr>
        <w:t>主费用保持0.1%，从次日收盘推迟至再下一日收盘，多头年化由21.72%降至19.68%，多空由26.42%降至23.88%。时点有影响，但在这一延迟范围内仍保持正收益。</w:t>
      </w:r>
    </w:p>
    <w:p>
      <w:pPr>
        <w:widowControl/>
        <w:spacing w:after="100"/>
      </w:pPr>
      <w:r>
        <w:rPr>
          <w:rFonts w:ascii="Calibri" w:hAnsi="Calibri" w:eastAsia="微软雅黑"/>
          <w:b w:val="0"/>
          <w:color w:val="000000"/>
          <w:sz w:val="17"/>
        </w:rPr>
        <w:t>来源：cost_execution.csv。单边0.3%对应一次完整开平仓的名义双边0.6%。这项比较原文已有成本分析，本研究增加了统一覆盖范围和执行延迟情景。</w:t>
      </w:r>
    </w:p>
    <w:p>
      <w:r>
        <w:br w:type="page"/>
      </w:r>
    </w:p>
    <w:p>
      <w:pPr>
        <w:pStyle w:val="Heading1"/>
      </w:pPr>
      <w:r>
        <w:t>13 参数和实施约定的敏感性</w:t>
      </w:r>
    </w:p>
    <w:p>
      <w:pPr>
        <w:widowControl/>
      </w:pPr>
      <w:r>
        <w:rPr>
          <w:rFonts w:ascii="Calibri" w:hAnsi="Calibri" w:eastAsia="微软雅黑"/>
          <w:b w:val="0"/>
          <w:color w:val="000000"/>
          <w:sz w:val="21"/>
        </w:rPr>
        <w:t>参数检验以价格过滤右偏为代表，每次只改变N、M或阈值中的一项。以下列出多头结果，主参数仍固定为18、600、0.7，不根据表格挑选最优回填。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701"/>
        <w:gridCol w:w="2835"/>
        <w:gridCol w:w="2835"/>
      </w:tblGrid>
      <w:tr>
        <w:trPr>
          <w:cantSplit/>
          <w:tblHeader/>
        </w:trPr>
        <w:tc>
          <w:tcPr>
            <w:tcW w:type="dxa" w:w="2268"/>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变动参数</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取值</w:t>
            </w:r>
          </w:p>
        </w:tc>
        <w:tc>
          <w:tcPr>
            <w:tcW w:type="dxa" w:w="283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283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N</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16</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24.11%</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-18.58%</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N</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18</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N</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20.66%</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-15.76%</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M</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300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23.13%</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-17.14%</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M</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600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21.72%</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-16.63%</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M</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900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24.36%</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-17.14%</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S</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0.5</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19.29%</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-20.59%</w:t>
            </w:r>
          </w:p>
        </w:tc>
      </w:tr>
      <w:tr>
        <w:trPr>
          <w:cantSplit/>
        </w:trPr>
        <w:tc>
          <w:tcPr>
            <w:tcW w:type="dxa" w:w="2268"/>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S</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0.7</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r>
        <w:trPr>
          <w:cantSplit/>
        </w:trPr>
        <w:tc>
          <w:tcPr>
            <w:tcW w:type="dxa" w:w="2268"/>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S</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0.9</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22.25%</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-22.16%</w:t>
            </w:r>
          </w:p>
        </w:tc>
      </w:tr>
    </w:tbl>
    <w:p>
      <w:pPr>
        <w:spacing w:after="0"/>
      </w:pPr>
    </w:p>
    <w:p>
      <w:pPr>
        <w:widowControl/>
      </w:pPr>
      <w:r>
        <w:rPr>
          <w:rFonts w:ascii="Calibri" w:hAnsi="Calibri" w:eastAsia="微软雅黑"/>
          <w:b w:val="0"/>
          <w:color w:val="000000"/>
          <w:sz w:val="21"/>
        </w:rPr>
        <w:t>这些局部参数情景仍取得较高正收益，但不能据此认定所有参数都稳健。原文的斜率N扫描和M=450至800细网格没有被这组试验完整替代；本研究采用的对象与网格不同。</w:t>
      </w:r>
    </w:p>
    <w:p>
      <w:pPr>
        <w:pStyle w:val="Heading2"/>
      </w:pPr>
      <w:r>
        <w:t>预热规则是一个实质敏感点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rPr>
          <w:cantSplit/>
          <w:tblHeader/>
        </w:trPr>
        <w:tc>
          <w:tcPr>
            <w:tcW w:type="dxa" w:w="3969"/>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最少有效斜率数</w:t>
            </w:r>
          </w:p>
        </w:tc>
        <w:tc>
          <w:tcPr>
            <w:tcW w:type="dxa" w:w="283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年化收益</w:t>
            </w:r>
          </w:p>
        </w:tc>
        <w:tc>
          <w:tcPr>
            <w:tcW w:type="dxa" w:w="2835"/>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最大回撤</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2</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21.72%</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-16.63%</w:t>
            </w:r>
          </w:p>
        </w:tc>
      </w:tr>
      <w:tr>
        <w:trPr>
          <w:cantSplit/>
        </w:trPr>
        <w:tc>
          <w:tcPr>
            <w:tcW w:type="dxa" w:w="3969"/>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10</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21.72%</w:t>
            </w:r>
          </w:p>
        </w:tc>
        <w:tc>
          <w:tcPr>
            <w:tcW w:type="dxa" w:w="2835"/>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-16.63%</w:t>
            </w:r>
          </w:p>
        </w:tc>
      </w:tr>
      <w:tr>
        <w:trPr>
          <w:cantSplit/>
        </w:trPr>
        <w:tc>
          <w:tcPr>
            <w:tcW w:type="dxa" w:w="3969"/>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600</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7.05%</w:t>
            </w:r>
          </w:p>
        </w:tc>
        <w:tc>
          <w:tcPr>
            <w:tcW w:type="dxa" w:w="2835"/>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-46.70%</w:t>
            </w:r>
          </w:p>
        </w:tc>
      </w:tr>
    </w:tbl>
    <w:p>
      <w:pPr>
        <w:spacing w:after="0"/>
      </w:pPr>
    </w:p>
    <w:p>
      <w:pPr>
        <w:widowControl/>
      </w:pPr>
      <w:r>
        <w:rPr>
          <w:rFonts w:ascii="Calibri" w:hAnsi="Calibri" w:eastAsia="微软雅黑"/>
          <w:b w:val="0"/>
          <w:color w:val="000000"/>
          <w:sz w:val="21"/>
        </w:rPr>
        <w:t>原文允许M不足时使用已有数据，我们主设定最少10个有效斜率。强制积满600个斜率后再标准化，年化收益降至7.05%、最大回撤扩大到−46.70%。它也会显著推迟开始交易、跳过部分早期行情，因此不能把变化仅归因于公式本身。结果说明可用历史与预热约定会实质影响样本表现。</w:t>
      </w:r>
    </w:p>
    <w:p>
      <w:pPr>
        <w:widowControl/>
      </w:pPr>
      <w:r>
        <w:rPr>
          <w:rFonts w:ascii="Calibri" w:hAnsi="Calibri" w:eastAsia="微软雅黑"/>
          <w:b w:val="0"/>
          <w:color w:val="000000"/>
          <w:sz w:val="21"/>
        </w:rPr>
        <w:t>另有已完成情景：排除当期β后价格过滤右偏多头年化为22.17%；量相关窗口含或不含当日也已单列计算。多空价格过滤右偏假设空头年费从0提高到10%，年化收益由26.42%降至22.25%。这些是假设情景，不代表市场真实融资费率。</w:t>
      </w:r>
    </w:p>
    <w:p>
      <w:pPr>
        <w:widowControl/>
        <w:spacing w:after="100"/>
      </w:pPr>
      <w:r>
        <w:rPr>
          <w:rFonts w:ascii="Calibri" w:hAnsi="Calibri" w:eastAsia="微软雅黑"/>
          <w:b w:val="0"/>
          <w:color w:val="000000"/>
          <w:sz w:val="17"/>
        </w:rPr>
        <w:t>内部参数exclude_current=False表示包含当期，True表示排除当期；本文按含义解释，避免反向阅读。空头费用按252交易日及实际空头暴露分摊。</w:t>
      </w:r>
    </w:p>
    <w:p>
      <w:r>
        <w:br w:type="page"/>
      </w:r>
    </w:p>
    <w:p>
      <w:pPr>
        <w:pStyle w:val="Heading1"/>
      </w:pPr>
      <w:r>
        <w:t>14 计算校验与尚未完成的内容</w:t>
      </w:r>
    </w:p>
    <w:p>
      <w:pPr>
        <w:pStyle w:val="Heading2"/>
      </w:pPr>
      <w:r>
        <w:t>已完成的可靠性检查</w:t>
      </w:r>
    </w:p>
    <w:p>
      <w:pPr>
        <w:widowControl/>
      </w:pPr>
      <w:r>
        <w:rPr>
          <w:rFonts w:ascii="Calibri" w:hAnsi="Calibri" w:eastAsia="微软雅黑"/>
          <w:b w:val="0"/>
          <w:color w:val="000000"/>
          <w:sz w:val="21"/>
        </w:rPr>
        <w:t>在2017年4月28日截断数据，三个市场20条规则共60组重算，信号、成交仓位、损益仓位和收益与完整计算的历史部分一致。完整研究另有其他截点检查，共180组。60条完整账户序列还通过独立逐日事件循环核账。</w:t>
      </w:r>
    </w:p>
    <w:p>
      <w:pPr>
        <w:widowControl/>
      </w:pPr>
      <w:r>
        <w:rPr>
          <w:rFonts w:ascii="Calibri" w:hAnsi="Calibri" w:eastAsia="微软雅黑"/>
          <w:b w:val="0"/>
          <w:color w:val="000000"/>
          <w:sz w:val="21"/>
        </w:rPr>
        <w:t>单元测试覆盖回归计算、阈值和缺失状态、过滤开仓与无条件平仓、反手费用、做空方向及成交后的收益归属。这些检查支持计算可靠性，本身不证明策略具备经济优势。</w:t>
      </w:r>
    </w:p>
    <w:p>
      <w:pPr>
        <w:pStyle w:val="Heading2"/>
      </w:pPr>
      <w:r>
        <w:t>原文已做而当前未完整覆盖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6973"/>
      </w:tblGrid>
      <w:tr>
        <w:trPr>
          <w:cantSplit/>
          <w:tblHeader/>
        </w:trPr>
        <w:tc>
          <w:tcPr>
            <w:tcW w:type="dxa" w:w="266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内容</w:t>
            </w:r>
          </w:p>
        </w:tc>
        <w:tc>
          <w:tcPr>
            <w:tcW w:type="dxa" w:w="6973"/>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当前状态</w:t>
            </w:r>
          </w:p>
        </w:tc>
      </w:tr>
      <w:tr>
        <w:trPr>
          <w:cantSplit/>
        </w:trPr>
        <w:tc>
          <w:tcPr>
            <w:tcW w:type="dxa" w:w="266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交易质量统计</w:t>
            </w:r>
          </w:p>
        </w:tc>
        <w:tc>
          <w:tcPr>
            <w:tcW w:type="dxa" w:w="697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保留了成交记录 尚未完整汇总按天及按次胜率 盈亏比 单笔极值</w:t>
            </w:r>
          </w:p>
        </w:tc>
      </w:tr>
      <w:tr>
        <w:trPr>
          <w:cantSplit/>
        </w:trPr>
        <w:tc>
          <w:tcPr>
            <w:tcW w:type="dxa" w:w="266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原文参数扫描</w:t>
            </w:r>
          </w:p>
        </w:tc>
        <w:tc>
          <w:tcPr>
            <w:tcW w:type="dxa" w:w="697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未完整复刻斜率N约10至26及M450至800的对应组合</w:t>
            </w:r>
          </w:p>
        </w:tc>
      </w:tr>
      <w:tr>
        <w:trPr>
          <w:cantSplit/>
        </w:trPr>
        <w:tc>
          <w:tcPr>
            <w:tcW w:type="dxa" w:w="266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特定行情复盘</w:t>
            </w:r>
          </w:p>
        </w:tc>
        <w:tc>
          <w:tcPr>
            <w:tcW w:type="dxa" w:w="697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有年度收益和交易记录 尚未逐笔解释2008误判和2009至2014震荡表现</w:t>
            </w:r>
          </w:p>
        </w:tc>
      </w:tr>
      <w:tr>
        <w:trPr>
          <w:cantSplit/>
        </w:trPr>
        <w:tc>
          <w:tcPr>
            <w:tcW w:type="dxa" w:w="266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补充市场较高费用</w:t>
            </w:r>
          </w:p>
        </w:tc>
        <w:tc>
          <w:tcPr>
            <w:tcW w:type="dxa" w:w="697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未完整呈现上证50与中证500双边0.6%费用情景</w:t>
            </w:r>
          </w:p>
        </w:tc>
      </w:tr>
      <w:tr>
        <w:trPr>
          <w:cantSplit/>
        </w:trPr>
        <w:tc>
          <w:tcPr>
            <w:tcW w:type="dxa" w:w="266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原文早期样本</w:t>
            </w:r>
          </w:p>
        </w:tc>
        <w:tc>
          <w:tcPr>
            <w:tcW w:type="dxa" w:w="697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沪深300缺2005年3月段 中证500缺2005至2006年</w:t>
            </w:r>
          </w:p>
        </w:tc>
      </w:tr>
    </w:tbl>
    <w:p>
      <w:pPr>
        <w:spacing w:after="0"/>
      </w:pPr>
    </w:p>
    <w:p>
      <w:pPr>
        <w:pStyle w:val="Heading2"/>
      </w:pPr>
      <w:r>
        <w:t>必须保留的研究局限</w:t>
      </w:r>
    </w:p>
    <w:p>
      <w:pPr>
        <w:widowControl/>
      </w:pPr>
      <w:r>
        <w:rPr>
          <w:rFonts w:ascii="Calibri" w:hAnsi="Calibri" w:eastAsia="微软雅黑"/>
          <w:b w:val="0"/>
          <w:color w:val="000000"/>
          <w:sz w:val="21"/>
        </w:rPr>
        <w:t>第一，单一公开数据源，2015年3月27日异常高低价已屏蔽，但收盘价尚未独立核验。第二，使用价格指数，不含股息，也不是具体可交易产品。第三，多空主表不含真实做空约束。第四，原报告期是指标与策略形成的历史区间，存在样本选择和参数探索影响。</w:t>
      </w:r>
    </w:p>
    <w:p>
      <w:pPr>
        <w:widowControl/>
      </w:pPr>
      <w:r>
        <w:rPr>
          <w:rFonts w:ascii="Calibri" w:hAnsi="Calibri" w:eastAsia="微软雅黑"/>
          <w:b w:val="0"/>
          <w:color w:val="000000"/>
          <w:sz w:val="21"/>
        </w:rPr>
        <w:t>本报告没有对原报告期策略收益差给出bootstrap显著性证明；已有bootstrap结果属于发表后研究，因此未搬入此处。年化较高和回撤较低，是描述性的样本内结果，不自动等于经过统计确认的稳定超额收益。</w:t>
      </w:r>
    </w:p>
    <w:p>
      <w:pPr>
        <w:widowControl/>
        <w:spacing w:after="100"/>
      </w:pPr>
      <w:r>
        <w:rPr>
          <w:rFonts w:ascii="Calibri" w:hAnsi="Calibri" w:eastAsia="微软雅黑"/>
          <w:b w:val="0"/>
          <w:color w:val="000000"/>
          <w:sz w:val="17"/>
        </w:rPr>
        <w:t>准确定位：核心规则的操作性复现、统一口径的样本内评价和若干补充检验。不是对原文全部图表、全部期间和全部实施细节的一一重建。</w:t>
      </w:r>
    </w:p>
    <w:p>
      <w:r>
        <w:br w:type="page"/>
      </w:r>
    </w:p>
    <w:p>
      <w:pPr>
        <w:pStyle w:val="Heading1"/>
      </w:pPr>
      <w:r>
        <w:t>15 如何组织面试展示</w:t>
      </w:r>
    </w:p>
    <w:p>
      <w:pPr>
        <w:widowControl/>
      </w:pPr>
      <w:r>
        <w:rPr>
          <w:rFonts w:ascii="Calibri" w:hAnsi="Calibri" w:eastAsia="微软雅黑"/>
          <w:b w:val="0"/>
          <w:color w:val="000000"/>
          <w:sz w:val="21"/>
        </w:rPr>
        <w:t>可以把本报告压缩为8页PPT。每页回答一个问题，讲完方法后立即给出证据，再说明证据边界。主线围绕原报告期展开，发表后检验可作为另一部分单独介绍。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3458"/>
        <w:gridCol w:w="5443"/>
      </w:tblGrid>
      <w:tr>
        <w:trPr>
          <w:cantSplit/>
          <w:tblHeader/>
        </w:trPr>
        <w:tc>
          <w:tcPr>
            <w:tcW w:type="dxa" w:w="737"/>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8"/>
              </w:rPr>
              <w:t>页次</w:t>
            </w:r>
          </w:p>
        </w:tc>
        <w:tc>
          <w:tcPr>
            <w:tcW w:type="dxa" w:w="3458"/>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要回答的问题</w:t>
            </w:r>
          </w:p>
        </w:tc>
        <w:tc>
          <w:tcPr>
            <w:tcW w:type="dxa" w:w="5443"/>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8"/>
              </w:rPr>
              <w:t>使用本报告的证据</w:t>
            </w:r>
          </w:p>
        </w:tc>
      </w:tr>
      <w:tr>
        <w:trPr>
          <w:cantSplit/>
        </w:trPr>
        <w:tc>
          <w:tcPr>
            <w:tcW w:type="dxa" w:w="737"/>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1</w:t>
            </w:r>
          </w:p>
        </w:tc>
        <w:tc>
          <w:tcPr>
            <w:tcW w:type="dxa" w:w="345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研究什么 我的工作是什么</w:t>
            </w:r>
          </w:p>
        </w:tc>
        <w:tc>
          <w:tcPr>
            <w:tcW w:type="dxa" w:w="544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研究对象 覆盖范围 核心结论</w:t>
            </w:r>
          </w:p>
        </w:tc>
      </w:tr>
      <w:tr>
        <w:trPr>
          <w:cantSplit/>
        </w:trPr>
        <w:tc>
          <w:tcPr>
            <w:tcW w:type="dxa" w:w="737"/>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2</w:t>
            </w:r>
          </w:p>
        </w:tc>
        <w:tc>
          <w:tcPr>
            <w:tcW w:type="dxa" w:w="345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RSRS如何构造</w:t>
            </w:r>
          </w:p>
        </w:tc>
        <w:tc>
          <w:tcPr>
            <w:tcW w:type="dxa" w:w="544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四种指标 参数及R²含义</w:t>
            </w:r>
          </w:p>
        </w:tc>
      </w:tr>
      <w:tr>
        <w:trPr>
          <w:cantSplit/>
        </w:trPr>
        <w:tc>
          <w:tcPr>
            <w:tcW w:type="dxa" w:w="737"/>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3</w:t>
            </w:r>
          </w:p>
        </w:tc>
        <w:tc>
          <w:tcPr>
            <w:tcW w:type="dxa" w:w="345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怎样避免口径混乱</w:t>
            </w:r>
          </w:p>
        </w:tc>
        <w:tc>
          <w:tcPr>
            <w:tcW w:type="dxa" w:w="544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信号成交时间轴 成本与样本</w:t>
            </w:r>
          </w:p>
        </w:tc>
      </w:tr>
      <w:tr>
        <w:trPr>
          <w:cantSplit/>
        </w:trPr>
        <w:tc>
          <w:tcPr>
            <w:tcW w:type="dxa" w:w="737"/>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4</w:t>
            </w:r>
          </w:p>
        </w:tc>
        <w:tc>
          <w:tcPr>
            <w:tcW w:type="dxa" w:w="345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指标有没有预测信息</w:t>
            </w:r>
          </w:p>
        </w:tc>
        <w:tc>
          <w:tcPr>
            <w:tcW w:type="dxa" w:w="544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图1 图2 逐日与执行对齐相关</w:t>
            </w:r>
          </w:p>
        </w:tc>
      </w:tr>
      <w:tr>
        <w:trPr>
          <w:cantSplit/>
        </w:trPr>
        <w:tc>
          <w:tcPr>
            <w:tcW w:type="dxa" w:w="737"/>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5</w:t>
            </w:r>
          </w:p>
        </w:tc>
        <w:tc>
          <w:tcPr>
            <w:tcW w:type="dxa" w:w="345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基础规则能否形成收益</w:t>
            </w:r>
          </w:p>
        </w:tc>
        <w:tc>
          <w:tcPr>
            <w:tcW w:type="dxa" w:w="544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图3 基础策略绩效表</w:t>
            </w:r>
          </w:p>
        </w:tc>
      </w:tr>
      <w:tr>
        <w:trPr>
          <w:cantSplit/>
        </w:trPr>
        <w:tc>
          <w:tcPr>
            <w:tcW w:type="dxa" w:w="737"/>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6</w:t>
            </w:r>
          </w:p>
        </w:tc>
        <w:tc>
          <w:tcPr>
            <w:tcW w:type="dxa" w:w="345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过滤规则改善了什么</w:t>
            </w:r>
          </w:p>
        </w:tc>
        <w:tc>
          <w:tcPr>
            <w:tcW w:type="dxa" w:w="544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图4 同参数对照 六组合排序</w:t>
            </w:r>
          </w:p>
        </w:tc>
      </w:tr>
      <w:tr>
        <w:trPr>
          <w:cantSplit/>
        </w:trPr>
        <w:tc>
          <w:tcPr>
            <w:tcW w:type="dxa" w:w="737"/>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8"/>
              </w:rPr>
              <w:t>7</w:t>
            </w:r>
          </w:p>
        </w:tc>
        <w:tc>
          <w:tcPr>
            <w:tcW w:type="dxa" w:w="3458"/>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多空与其他市场怎样</w:t>
            </w:r>
          </w:p>
        </w:tc>
        <w:tc>
          <w:tcPr>
            <w:tcW w:type="dxa" w:w="5443"/>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8"/>
              </w:rPr>
              <w:t>图5 多空取舍 跨市场表</w:t>
            </w:r>
          </w:p>
        </w:tc>
      </w:tr>
      <w:tr>
        <w:trPr>
          <w:cantSplit/>
        </w:trPr>
        <w:tc>
          <w:tcPr>
            <w:tcW w:type="dxa" w:w="737"/>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8"/>
              </w:rPr>
              <w:t>8</w:t>
            </w:r>
          </w:p>
        </w:tc>
        <w:tc>
          <w:tcPr>
            <w:tcW w:type="dxa" w:w="3458"/>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结论可信到哪一步</w:t>
            </w:r>
          </w:p>
        </w:tc>
        <w:tc>
          <w:tcPr>
            <w:tcW w:type="dxa" w:w="5443"/>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8"/>
              </w:rPr>
              <w:t>费用延迟 预热敏感 未覆盖事项</w:t>
            </w:r>
          </w:p>
        </w:tc>
      </w:tr>
    </w:tbl>
    <w:p>
      <w:pPr>
        <w:spacing w:after="0"/>
      </w:pPr>
    </w:p>
    <w:p>
      <w:pPr>
        <w:pStyle w:val="Heading2"/>
      </w:pPr>
      <w:r>
        <w:t>开场讲解示例</w:t>
      </w:r>
    </w:p>
    <w:p>
      <w:pPr>
        <w:widowControl/>
      </w:pPr>
      <w:r>
        <w:rPr>
          <w:rFonts w:ascii="Calibri" w:hAnsi="Calibri" w:eastAsia="微软雅黑"/>
          <w:b w:val="0"/>
          <w:color w:val="000000"/>
          <w:sz w:val="21"/>
        </w:rPr>
        <w:t>“这个项目复现的是光大证券的RSRS择时研究。它用滚动窗口内最高价和最低价的回归关系构造信号，再通过阈值和量价过滤决定持仓。我完成了指标计算、十个多头策略和六个按原文规则实现的多空组合，并用统一成交和费用口径评价。</w:t>
      </w:r>
    </w:p>
    <w:p>
      <w:pPr>
        <w:widowControl/>
      </w:pPr>
      <w:r>
        <w:rPr>
          <w:rFonts w:ascii="Calibri" w:hAnsi="Calibri" w:eastAsia="微软雅黑"/>
          <w:b w:val="0"/>
          <w:color w:val="000000"/>
          <w:sz w:val="21"/>
        </w:rPr>
        <w:t>在沪深300原报告期，指标与未来10日收益呈现一定正关联，但关系强度有限，多重检验后不能下过强结论。交易层面，基础策略收益较好，但回撤仍大；加入价格或量过滤后，风险收益组合明显改善。价格过滤右偏多头年化约21.72%，最大回撤约16.63%；多空收益更高，但回撤也扩大。</w:t>
      </w:r>
    </w:p>
    <w:p>
      <w:pPr>
        <w:widowControl/>
      </w:pPr>
      <w:r>
        <w:rPr>
          <w:rFonts w:ascii="Calibri" w:hAnsi="Calibri" w:eastAsia="微软雅黑"/>
          <w:b w:val="0"/>
          <w:color w:val="000000"/>
          <w:sz w:val="21"/>
        </w:rPr>
        <w:t>我认为成果的价值在于把指标预测性、交易结果和实施假设分开验证。成本和一天执行延迟没有消除这段历史表现，但完整预热会明显改变结果。因此我把它定位为有条件支持的样本内复现，而不是已经证明未来能稳定获利。”</w:t>
      </w:r>
    </w:p>
    <w:p>
      <w:pPr>
        <w:pStyle w:val="Heading2"/>
      </w:pPr>
      <w:r>
        <w:t>自己的贡献怎样表达</w:t>
      </w:r>
    </w:p>
    <w:p>
      <w:pPr>
        <w:widowControl/>
      </w:pPr>
      <w:r>
        <w:rPr>
          <w:rFonts w:ascii="Calibri" w:hAnsi="Calibri" w:eastAsia="微软雅黑"/>
          <w:b w:val="0"/>
          <w:color w:val="000000"/>
          <w:sz w:val="21"/>
        </w:rPr>
        <w:t>使用“实现、复核、统一比较、识别敏感性、解释边界”等具体动词。把原文规则与补充验证区分清楚；不要把研报的因子或过滤思想说成原创，不把所有代码和图表当成独立的有效性证据。</w:t>
      </w:r>
    </w:p>
    <w:p>
      <w:r>
        <w:br w:type="page"/>
      </w:r>
    </w:p>
    <w:p>
      <w:pPr>
        <w:pStyle w:val="Heading1"/>
      </w:pPr>
      <w:r>
        <w:t>16 面试追问与资料索引</w:t>
      </w:r>
    </w:p>
    <w:p>
      <w:pPr>
        <w:pStyle w:val="Heading2"/>
      </w:pPr>
      <w:r>
        <w:t>为什么指标相关性不高 策略还能赚钱</w:t>
      </w:r>
    </w:p>
    <w:p>
      <w:pPr>
        <w:widowControl/>
      </w:pPr>
      <w:r>
        <w:rPr>
          <w:rFonts w:ascii="Calibri" w:hAnsi="Calibri" w:eastAsia="微软雅黑"/>
          <w:b w:val="0"/>
          <w:color w:val="000000"/>
          <w:sz w:val="21"/>
        </w:rPr>
        <w:t>逐日相关评价所有指标水平与固定10日收益的关系；策略只在阈值和过滤通过时持仓，并按后续信号退出。评价对象不同，有限相关不排除样本内赚钱，但策略赚钱也不能反证预测关系普遍显著。</w:t>
      </w:r>
    </w:p>
    <w:p>
      <w:pPr>
        <w:pStyle w:val="Heading2"/>
      </w:pPr>
      <w:r>
        <w:t>为什么没有追平研报的每个数字</w:t>
      </w:r>
    </w:p>
    <w:p>
      <w:pPr>
        <w:widowControl/>
      </w:pPr>
      <w:r>
        <w:rPr>
          <w:rFonts w:ascii="Calibri" w:hAnsi="Calibri" w:eastAsia="微软雅黑"/>
          <w:b w:val="0"/>
          <w:color w:val="000000"/>
          <w:sz w:val="21"/>
        </w:rPr>
        <w:t>数据源、起止日、成交时点、成本和未披露细节不同。我们固定实施约定，判断指标关系与策略表现是否得到支持，同时承认没有完成所有原文检验。</w:t>
      </w:r>
    </w:p>
    <w:p>
      <w:pPr>
        <w:pStyle w:val="Heading2"/>
      </w:pPr>
      <w:r>
        <w:t>为什么同时报告两种右偏参数</w:t>
      </w:r>
    </w:p>
    <w:p>
      <w:pPr>
        <w:widowControl/>
      </w:pPr>
      <w:r>
        <w:rPr>
          <w:rFonts w:ascii="Calibri" w:hAnsi="Calibri" w:eastAsia="微软雅黑"/>
          <w:b w:val="0"/>
          <w:color w:val="000000"/>
          <w:sz w:val="21"/>
        </w:rPr>
        <w:t>基础右偏按原文用16和300，过滤版用18和600。额外保留无过滤18和600，才能在相同参数下观察过滤效果。</w:t>
      </w:r>
    </w:p>
    <w:p>
      <w:pPr>
        <w:pStyle w:val="Heading2"/>
      </w:pPr>
      <w:r>
        <w:t>多空收益更高 为什么不直接说更好</w:t>
      </w:r>
    </w:p>
    <w:p>
      <w:pPr>
        <w:widowControl/>
      </w:pPr>
      <w:r>
        <w:rPr>
          <w:rFonts w:ascii="Calibri" w:hAnsi="Calibri" w:eastAsia="微软雅黑"/>
          <w:b w:val="0"/>
          <w:color w:val="000000"/>
          <w:sz w:val="21"/>
        </w:rPr>
        <w:t>沪深300价格过滤右偏多空年化较高，但回撤更大、夏普更低；上证50多空收益反而较低。主表还没有计入真实做空约束。</w:t>
      </w:r>
    </w:p>
    <w:p>
      <w:pPr>
        <w:pStyle w:val="Heading2"/>
      </w:pPr>
      <w:r>
        <w:t>最大的研究风险是什么</w:t>
      </w:r>
    </w:p>
    <w:p>
      <w:pPr>
        <w:widowControl/>
      </w:pPr>
      <w:r>
        <w:rPr>
          <w:rFonts w:ascii="Calibri" w:hAnsi="Calibri" w:eastAsia="微软雅黑"/>
          <w:b w:val="0"/>
          <w:color w:val="000000"/>
          <w:sz w:val="21"/>
        </w:rPr>
        <w:t>原报告期属于构建样本；数据和真实交易模型有局限。完整预热显著改变收益，说明历史起点与可用数据对结果很重要。</w:t>
      </w:r>
    </w:p>
    <w:p>
      <w:pPr>
        <w:pStyle w:val="Heading2"/>
      </w:pPr>
      <w:r>
        <w:t>复现中最能展示研究能力的部分是什么</w:t>
      </w:r>
    </w:p>
    <w:p>
      <w:pPr>
        <w:widowControl/>
      </w:pPr>
      <w:r>
        <w:rPr>
          <w:rFonts w:ascii="Calibri" w:hAnsi="Calibri" w:eastAsia="微软雅黑"/>
          <w:b w:val="0"/>
          <w:color w:val="000000"/>
          <w:sz w:val="21"/>
        </w:rPr>
        <w:t>把规则变成可执行状态机，明确成交后的收益归属，用同参数对照拆开过滤与参数效果，并如实保留负面敏感性结果。</w:t>
      </w:r>
    </w:p>
    <w:p>
      <w:pPr>
        <w:widowControl/>
        <w:spacing w:after="100"/>
      </w:pPr>
      <w:r>
        <w:rPr>
          <w:rFonts w:ascii="Calibri" w:hAnsi="Calibri" w:eastAsia="微软雅黑"/>
          <w:b w:val="0"/>
          <w:color w:val="000000"/>
          <w:sz w:val="17"/>
        </w:rPr>
        <w:t>参考文献：光大证券，2017-05-01，《择时系列报告之一：基于阻力支撑相对强度（RSRS）的市场择时》。核心定位：第9至13页基础策略与成本；第14至16页预测性；第18至22页量价过滤及参数；第23至24页多空和跨市场。</w:t>
      </w:r>
    </w:p>
    <w:p>
      <w:pPr>
        <w:widowControl/>
        <w:spacing w:after="100"/>
      </w:pPr>
      <w:r>
        <w:rPr>
          <w:rFonts w:ascii="Calibri" w:hAnsi="Calibri" w:eastAsia="微软雅黑"/>
          <w:b w:val="0"/>
          <w:color w:val="000000"/>
          <w:sz w:val="17"/>
        </w:rPr>
        <w:t>结果索引：统一配置rsrs/research_spec.py；执行入口research.py；结果位于report/research。表格来自metrics、predictive、fixed_bins、distribution、cost_execution、parameter_sensitivity与short_carry_sensitivity。净值图来自各市场daily_returns。报告已嵌入所需表图，无需打开这些文件才能阅读。</w:t>
      </w:r>
    </w:p>
    <w:p>
      <w:pPr>
        <w:widowControl/>
        <w:spacing w:after="100"/>
      </w:pPr>
      <w:r>
        <w:rPr>
          <w:rFonts w:ascii="Calibri" w:hAnsi="Calibri" w:eastAsia="微软雅黑"/>
          <w:b w:val="0"/>
          <w:color w:val="000000"/>
          <w:sz w:val="17"/>
        </w:rPr>
        <w:t>项目地址：https://github.com/cedric-runtaoxu/rsrs-timing。本报告基于本地计算结果整理，结果计算日期：2026年10月22日。</w:t>
      </w:r>
    </w:p>
    <w:p>
      <w:r>
        <w:br w:type="page"/>
      </w:r>
    </w:p>
    <w:p>
      <w:pPr>
        <w:pStyle w:val="Heading1"/>
      </w:pPr>
      <w:r>
        <w:t>附录一 上证50完整策略结果</w:t>
      </w:r>
    </w:p>
    <w:p>
      <w:pPr>
        <w:widowControl/>
      </w:pPr>
      <w:r>
        <w:rPr>
          <w:rFonts w:ascii="Calibri" w:hAnsi="Calibri" w:eastAsia="微软雅黑"/>
          <w:b w:val="0"/>
          <w:color w:val="000000"/>
          <w:sz w:val="21"/>
        </w:rPr>
        <w:t>实际统计期间为2005-04-08至2017-04-28。全部策略使用次日收盘执行、单边0.1%费用、同一规则配置。绝对仓位衡量实际市场暴露，不能用多空净仓位抵消来解释风险。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31"/>
        <w:gridCol w:w="1134"/>
        <w:gridCol w:w="1701"/>
        <w:gridCol w:w="1757"/>
      </w:tblGrid>
      <w:tr>
        <w:trPr>
          <w:cantSplit/>
          <w:tblHeader/>
        </w:trPr>
        <w:tc>
          <w:tcPr>
            <w:tcW w:type="dxa" w:w="351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7"/>
              </w:rPr>
              <w:t>策略</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年化收益</w:t>
            </w:r>
          </w:p>
        </w:tc>
        <w:tc>
          <w:tcPr>
            <w:tcW w:type="dxa" w:w="113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夏普</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最大回撤</w:t>
            </w:r>
          </w:p>
        </w:tc>
        <w:tc>
          <w:tcPr>
            <w:tcW w:type="dxa" w:w="1757"/>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绝对仓位</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买入持有</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9.41%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0.45</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-72.41%</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100.00%</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MA20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11.66%</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0.66</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-40.13%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53.36%</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BOLL(14,2)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17.13%</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0.94</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-31.15%</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51.52%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斜率</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12.31%</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0.63</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-65.28%</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57.52%</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10.70%</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0.62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-56.69%</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46.37%</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修正标准分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14.73%</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0.78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-44.14%</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48.69%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右偏(16,300)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9.91%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0.52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-72.41%</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68.85%</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17.61%</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1.18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-23.31%</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31.83%</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14.82%</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0.92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-36.27%</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38.93%</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19.19%</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1.18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-19.13%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34.60%</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17.31%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1.02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-30.20%</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40.16%</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18.49%</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1.07</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-30.26%</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40.40%</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17.31%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0.93</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-30.48%</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49.57%</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右偏(18,600)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14.01%</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0.71</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-52.43%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59.23%</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13.57%</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0.64</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-37.80%</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77.48%</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16.21%</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0.72</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-37.85%</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78.88%</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15.31%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0.70</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-39.52%</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72.94%</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14.34%</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0.65</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-51.98%</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79.29%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20.39%</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0.84</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-44.50%</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82.29%</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19.84%</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0.83</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-47.13%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77.69%</w:t>
            </w:r>
          </w:p>
        </w:tc>
      </w:tr>
    </w:tbl>
    <w:p>
      <w:pPr>
        <w:spacing w:after="0"/>
      </w:pPr>
    </w:p>
    <w:p>
      <w:pPr>
        <w:widowControl/>
      </w:pPr>
      <w:r>
        <w:rPr>
          <w:rFonts w:ascii="Calibri" w:hAnsi="Calibri" w:eastAsia="微软雅黑"/>
          <w:b w:val="0"/>
          <w:color w:val="000000"/>
          <w:sz w:val="21"/>
        </w:rPr>
        <w:t>价格过滤右偏多头年化18.49%、最大回撤−30.26%；多空年化15.31%、最大回撤−39.52%。这个市场的结果不支持“加入做空一定提高收益”的说法。</w:t>
      </w:r>
    </w:p>
    <w:p>
      <w:pPr>
        <w:widowControl/>
        <w:spacing w:after="100"/>
      </w:pPr>
      <w:r>
        <w:rPr>
          <w:rFonts w:ascii="Calibri" w:hAnsi="Calibri" w:eastAsia="微软雅黑"/>
          <w:b w:val="0"/>
          <w:color w:val="000000"/>
          <w:sz w:val="17"/>
        </w:rPr>
        <w:t>来源：metrics.csv原报告期对应市场全部20条规则。个别规则相同或接近的结果是该样本的实际计算输出；不因排序或表现筛除。</w:t>
      </w:r>
    </w:p>
    <w:p>
      <w:r>
        <w:br w:type="page"/>
      </w:r>
    </w:p>
    <w:p>
      <w:pPr>
        <w:pStyle w:val="Heading1"/>
      </w:pPr>
      <w:r>
        <w:t>附录二 中证500完整策略结果</w:t>
      </w:r>
    </w:p>
    <w:p>
      <w:pPr>
        <w:widowControl/>
      </w:pPr>
      <w:r>
        <w:rPr>
          <w:rFonts w:ascii="Calibri" w:hAnsi="Calibri" w:eastAsia="微软雅黑"/>
          <w:b w:val="0"/>
          <w:color w:val="000000"/>
          <w:sz w:val="21"/>
        </w:rPr>
        <w:t>实际统计期间为2007-01-15至2017-04-28。全部策略使用次日收盘执行、单边0.1%费用、同一规则配置。绝对仓位衡量实际市场暴露，不能用多空净仓位抵消来解释风险。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31"/>
        <w:gridCol w:w="1134"/>
        <w:gridCol w:w="1701"/>
        <w:gridCol w:w="1757"/>
      </w:tblGrid>
      <w:tr>
        <w:trPr>
          <w:cantSplit/>
          <w:tblHeader/>
        </w:trPr>
        <w:tc>
          <w:tcPr>
            <w:tcW w:type="dxa" w:w="3515"/>
            <w:vAlign w:val="center"/>
            <w:tcMar>
              <w:top w:w="65" w:type="dxa"/>
              <w:bottom w:w="65" w:type="dxa"/>
              <w:left w:w="85" w:type="dxa"/>
              <w:right w:w="85" w:type="dxa"/>
            </w:tcMar>
            <w:shd w:fill="203C51"/>
          </w:tcPr>
          <w:p>
            <w:pPr>
              <w:spacing w:after="0" w:before="0" w:line="259" w:lineRule="auto"/>
              <w:jc w:val="left"/>
            </w:pPr>
            <w:r>
              <w:rPr>
                <w:rFonts w:ascii="Calibri" w:hAnsi="Calibri" w:eastAsia="微软雅黑"/>
                <w:b/>
                <w:color w:val="FFFFFF"/>
                <w:sz w:val="17"/>
              </w:rPr>
              <w:t>策略</w:t>
            </w:r>
          </w:p>
        </w:tc>
        <w:tc>
          <w:tcPr>
            <w:tcW w:type="dxa" w:w="153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年化收益</w:t>
            </w:r>
          </w:p>
        </w:tc>
        <w:tc>
          <w:tcPr>
            <w:tcW w:type="dxa" w:w="1134"/>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夏普</w:t>
            </w:r>
          </w:p>
        </w:tc>
        <w:tc>
          <w:tcPr>
            <w:tcW w:type="dxa" w:w="1701"/>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最大回撤</w:t>
            </w:r>
          </w:p>
        </w:tc>
        <w:tc>
          <w:tcPr>
            <w:tcW w:type="dxa" w:w="1757"/>
            <w:vAlign w:val="center"/>
            <w:tcMar>
              <w:top w:w="65" w:type="dxa"/>
              <w:bottom w:w="65" w:type="dxa"/>
              <w:left w:w="85" w:type="dxa"/>
              <w:right w:w="85" w:type="dxa"/>
            </w:tcMar>
            <w:shd w:fill="203C51"/>
          </w:tcPr>
          <w:p>
            <w:pPr>
              <w:spacing w:after="0" w:before="0" w:line="259" w:lineRule="auto"/>
              <w:jc w:val="center"/>
            </w:pPr>
            <w:r>
              <w:rPr>
                <w:rFonts w:ascii="Calibri" w:hAnsi="Calibri" w:eastAsia="微软雅黑"/>
                <w:b/>
                <w:color w:val="FFFFFF"/>
                <w:sz w:val="17"/>
              </w:rPr>
              <w:t>绝对仓位</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买入持有</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11.77%</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0.50</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-72.42%</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99.92%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MA20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12.48%</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0.63</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-36.76%</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57.27%</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BOLL(14,2)</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14.43%</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0.75</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-36.70%</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45.60%</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斜率</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26.57%</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1.12</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-46.21%</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41.05%</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21.44%</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0.94</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-48.84%</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44.92%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修正标准分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20.85%</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0.90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-46.00%</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46.80%</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右偏(16,300)</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19.49%</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0.79</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-48.48%</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61.79%</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21.73%</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1.22</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-25.72%</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29.30%</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23.47%</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1.12</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-38.16%</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36.89%</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23.16%</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1.28</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-25.44%</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30.18%</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22.91%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1.11</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-35.29%</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35.65%</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价格过滤·右偏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23.08%</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1.21</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-25.44%</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36.49%</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量过滤·右偏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20.42%</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0.96</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-35.29%</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43.13%</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右偏(18,600)</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17.42%</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0.75</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-46.40%</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54.88%</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多空·价格过滤·标准分</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28.31%</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1.05</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-39.06%</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68.51%</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多空·价格过滤·修正</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28.69%</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1.06</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-38.36%</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67.95%</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多空·价格过滤·右偏</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30.75%</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1.16</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-38.36%</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60.67%</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多空·量过滤·标准分</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33.81%</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1.10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-41.03%</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83.73%</w:t>
            </w:r>
          </w:p>
        </w:tc>
      </w:tr>
      <w:tr>
        <w:trPr>
          <w:cantSplit/>
        </w:trPr>
        <w:tc>
          <w:tcPr>
            <w:tcW w:type="dxa" w:w="3515"/>
            <w:vAlign w:val="center"/>
            <w:tcMar>
              <w:top w:w="65" w:type="dxa"/>
              <w:bottom w:w="65" w:type="dxa"/>
              <w:left w:w="85" w:type="dxa"/>
              <w:right w:w="85" w:type="dxa"/>
            </w:tcMar>
            <w:shd w:fill="FFFFFF"/>
          </w:tcPr>
          <w:p>
            <w:pPr>
              <w:spacing w:after="0" w:before="0" w:line="259" w:lineRule="auto"/>
              <w:jc w:val="left"/>
            </w:pPr>
            <w:r>
              <w:rPr>
                <w:rFonts w:ascii="Calibri" w:hAnsi="Calibri" w:eastAsia="微软雅黑"/>
                <w:b w:val="0"/>
                <w:color w:val="000000"/>
                <w:sz w:val="17"/>
              </w:rPr>
              <w:t>多空·量过滤·修正</w:t>
            </w:r>
          </w:p>
        </w:tc>
        <w:tc>
          <w:tcPr>
            <w:tcW w:type="dxa" w:w="153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31.03%</w:t>
            </w:r>
          </w:p>
        </w:tc>
        <w:tc>
          <w:tcPr>
            <w:tcW w:type="dxa" w:w="1134"/>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1.06</w:t>
            </w:r>
          </w:p>
        </w:tc>
        <w:tc>
          <w:tcPr>
            <w:tcW w:type="dxa" w:w="1701"/>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-43.15%</w:t>
            </w:r>
          </w:p>
        </w:tc>
        <w:tc>
          <w:tcPr>
            <w:tcW w:type="dxa" w:w="1757"/>
            <w:vAlign w:val="center"/>
            <w:tcMar>
              <w:top w:w="65" w:type="dxa"/>
              <w:bottom w:w="65" w:type="dxa"/>
              <w:left w:w="85" w:type="dxa"/>
              <w:right w:w="85" w:type="dxa"/>
            </w:tcMar>
            <w:shd w:fill="FFFFFF"/>
          </w:tcPr>
          <w:p>
            <w:pPr>
              <w:spacing w:after="0" w:before="0" w:line="259" w:lineRule="auto"/>
              <w:jc w:val="center"/>
            </w:pPr>
            <w:r>
              <w:rPr>
                <w:rFonts w:ascii="Calibri" w:hAnsi="Calibri" w:eastAsia="微软雅黑"/>
                <w:b w:val="0"/>
                <w:color w:val="000000"/>
                <w:sz w:val="17"/>
              </w:rPr>
              <w:t>81.02%</w:t>
            </w:r>
          </w:p>
        </w:tc>
      </w:tr>
      <w:tr>
        <w:trPr>
          <w:cantSplit/>
        </w:trPr>
        <w:tc>
          <w:tcPr>
            <w:tcW w:type="dxa" w:w="3515"/>
            <w:vAlign w:val="center"/>
            <w:tcMar>
              <w:top w:w="65" w:type="dxa"/>
              <w:bottom w:w="65" w:type="dxa"/>
              <w:left w:w="85" w:type="dxa"/>
              <w:right w:w="85" w:type="dxa"/>
            </w:tcMar>
            <w:shd w:fill="F3F6F8"/>
          </w:tcPr>
          <w:p>
            <w:pPr>
              <w:spacing w:after="0" w:before="0" w:line="259" w:lineRule="auto"/>
              <w:jc w:val="left"/>
            </w:pPr>
            <w:r>
              <w:rPr>
                <w:rFonts w:ascii="Calibri" w:hAnsi="Calibri" w:eastAsia="微软雅黑"/>
                <w:b w:val="0"/>
                <w:color w:val="000000"/>
                <w:sz w:val="17"/>
              </w:rPr>
              <w:t>多空·量过滤·右偏</w:t>
            </w:r>
          </w:p>
        </w:tc>
        <w:tc>
          <w:tcPr>
            <w:tcW w:type="dxa" w:w="153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29.05%</w:t>
            </w:r>
          </w:p>
        </w:tc>
        <w:tc>
          <w:tcPr>
            <w:tcW w:type="dxa" w:w="1134"/>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1.00</w:t>
            </w:r>
          </w:p>
        </w:tc>
        <w:tc>
          <w:tcPr>
            <w:tcW w:type="dxa" w:w="1701"/>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-43.15%</w:t>
            </w:r>
          </w:p>
        </w:tc>
        <w:tc>
          <w:tcPr>
            <w:tcW w:type="dxa" w:w="1757"/>
            <w:vAlign w:val="center"/>
            <w:tcMar>
              <w:top w:w="65" w:type="dxa"/>
              <w:bottom w:w="65" w:type="dxa"/>
              <w:left w:w="85" w:type="dxa"/>
              <w:right w:w="85" w:type="dxa"/>
            </w:tcMar>
            <w:shd w:fill="F3F6F8"/>
          </w:tcPr>
          <w:p>
            <w:pPr>
              <w:spacing w:after="0" w:before="0" w:line="259" w:lineRule="auto"/>
              <w:jc w:val="center"/>
            </w:pPr>
            <w:r>
              <w:rPr>
                <w:rFonts w:ascii="Calibri" w:hAnsi="Calibri" w:eastAsia="微软雅黑"/>
                <w:b w:val="0"/>
                <w:color w:val="000000"/>
                <w:sz w:val="17"/>
              </w:rPr>
              <w:t>80.78%</w:t>
            </w:r>
          </w:p>
        </w:tc>
      </w:tr>
    </w:tbl>
    <w:p>
      <w:pPr>
        <w:spacing w:after="0"/>
      </w:pPr>
    </w:p>
    <w:p>
      <w:pPr>
        <w:widowControl/>
      </w:pPr>
      <w:r>
        <w:rPr>
          <w:rFonts w:ascii="Calibri" w:hAnsi="Calibri" w:eastAsia="微软雅黑"/>
          <w:b w:val="0"/>
          <w:color w:val="000000"/>
          <w:sz w:val="21"/>
        </w:rPr>
        <w:t>价格过滤右偏多头年化23.08%、最大回撤−25.44%；多空年化30.75%、最大回撤−38.36%。收益与风险同时提高。因缺少2005至2006年数据，本表不能作为与其他市场完全同期间的优劣排名。</w:t>
      </w:r>
    </w:p>
    <w:p>
      <w:pPr>
        <w:widowControl/>
        <w:spacing w:after="100"/>
      </w:pPr>
      <w:r>
        <w:rPr>
          <w:rFonts w:ascii="Calibri" w:hAnsi="Calibri" w:eastAsia="微软雅黑"/>
          <w:b w:val="0"/>
          <w:color w:val="000000"/>
          <w:sz w:val="17"/>
        </w:rPr>
        <w:t>来源：metrics.csv原报告期对应市场全部20条规则。个别规则相同或接近的结果是该样本的实际计算输出；不因排序或表现筛除。</w:t>
      </w:r>
    </w:p>
    <w:sectPr w:rsidR="00FC693F" w:rsidRPr="0006063C" w:rsidSect="00034616">
      <w:footerReference w:type="default" r:id="rId9"/>
      <w:pgSz w:w="11906" w:h="16838"/>
      <w:pgMar w:top="1020"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color w:val="666666"/>
        <w:sz w:val="16"/>
      </w:rPr>
      <w:t xml:space="preserve">RSRS原报告期复现研究  |  </w:t>
    </w:r>
    <w:r/>
    <w:fldSimple w:instr="PAGE"/>
    <w:r>
      <w:rPr>
        <w:rFonts w:ascii="Calibri" w:hAnsi="Calibri" w:eastAsia="微软雅黑"/>
        <w:b w:val="0"/>
        <w:color w:val="666666"/>
        <w:sz w:val="16"/>
      </w:rPr>
      <w:t xml:space="preserve"> / </w:t>
    </w: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snapToGrid w:val="0"/>
    </w:pPr>
    <w:rPr>
      <w:rFonts w:ascii="Calibri" w:hAnsi="Calibri" w:eastAsia="微软雅黑"/>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snapToGrid w:val="0"/>
    </w:pPr>
    <w:rPr>
      <w:rFonts w:asciiTheme="majorHAnsi" w:eastAsiaTheme="majorEastAsia" w:hAnsiTheme="majorHAnsi" w:cstheme="majorBidi" w:ascii="Calibri" w:hAnsi="Calibri" w:eastAsia="微软雅黑"/>
      <w:b/>
      <w:bCs/>
      <w:i w:val="0"/>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360" w:lineRule="exact"/>
      <w:outlineLvl w:val="1"/>
      <w:snapToGrid w:val="0"/>
    </w:pPr>
    <w:rPr>
      <w:rFonts w:asciiTheme="majorHAnsi" w:eastAsiaTheme="majorEastAsia" w:hAnsiTheme="majorHAnsi" w:cstheme="majorBidi" w:ascii="Calibri" w:hAnsi="Calibri" w:eastAsia="微软雅黑"/>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120" w:line="283" w:lineRule="auto"/>
      <w:outlineLvl w:val="2"/>
      <w:snapToGrid w:val="0"/>
    </w:pPr>
    <w:rPr>
      <w:rFonts w:asciiTheme="majorHAnsi" w:eastAsiaTheme="majorEastAsia" w:hAnsiTheme="majorHAnsi" w:cstheme="majorBidi" w:ascii="Calibri" w:hAnsi="Calibri" w:eastAsia="微软雅黑"/>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640" w:lineRule="exact"/>
      <w:contextualSpacing/>
      <w:snapToGrid w:val="0"/>
    </w:pPr>
    <w:rPr>
      <w:rFonts w:asciiTheme="majorHAnsi" w:eastAsiaTheme="majorEastAsia" w:hAnsiTheme="majorHAnsi" w:cstheme="majorBidi" w:ascii="Calibri" w:hAnsi="Calibri" w:eastAsia="微软雅黑"/>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60" w:lineRule="exact"/>
      <w:snapToGrid w:val="0"/>
    </w:pPr>
    <w:rPr>
      <w:rFonts w:asciiTheme="majorHAnsi" w:eastAsiaTheme="majorEastAsia" w:hAnsiTheme="majorHAnsi" w:cstheme="majorBidi" w:ascii="Calibri" w:hAnsi="Calibri" w:eastAsia="微软雅黑"/>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20"/>
      <w:snapToGrid w:val="0"/>
    </w:pPr>
    <w:rPr>
      <w:rFonts w:ascii="Calibri" w:hAnsi="Calibri" w:eastAsia="微软雅黑"/>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RSRS原报告期复现研究报告</dc:title>
  <dc:subject>指标与策略检验以及面试展示准备</dc:subject>
  <dc:creator>Cedric XU</dc:creator>
  <cp:keywords>RSRS 研报复现 原报告期 面试展示</cp:keywords>
  <dc:description>generated by python-docx</dc:description>
  <cp:lastModifiedBy/>
  <cp:revision>1</cp:revision>
  <dcterms:created xsi:type="dcterms:W3CDTF">2013-12-23T23:15:00Z</dcterms:created>
  <dcterms:modified xsi:type="dcterms:W3CDTF">2013-12-23T23:15:00Z</dcterms:modified>
  <cp:category/>
</cp:coreProperties>
</file>