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due diligence</w:t>
      </w:r>
    </w:p>
    <w:p>
      <w:r>
        <w:t>Projet Ridgeline</w:t>
      </w:r>
    </w:p>
    <w:p>
      <w:r>
        <w:t>Destinataire : Équipe acquéreur</w:t>
        <w:br/>
        <w:t>Situation documentaire au 2025-01-08</w:t>
      </w:r>
    </w:p>
    <w:p>
      <w:pPr>
        <w:pStyle w:val="Heading1"/>
      </w:pPr>
      <w:r>
        <w:t>Brouillon à valider</w:t>
      </w:r>
    </w:p>
    <w:p>
      <w:r>
        <w:t>Exemple de revue partielle du financement, des contentieux et des contrats commerciaux.</w:t>
      </w:r>
    </w:p>
    <w:p>
      <w:r>
        <w:t>3 constats ; 13 pièces inventoriées ; 3 pièces déclarées consultées. L’ancrage technique d’une citation ne valide ni l’interprétation juridique ni l’exhaustivité de la revue.</w:t>
      </w:r>
    </w:p>
    <w:p>
      <w:pPr>
        <w:pStyle w:val="ListBullet"/>
      </w:pPr>
      <w:r>
        <w:t>Démonstration : trois constats préparés à partir des pièces fournies, sans analyse automatique du reste de la data room.</w:t>
      </w:r>
    </w:p>
    <w:p>
      <w:pPr>
        <w:pStyle w:val="ListBullet"/>
      </w:pPr>
      <w:r>
        <w:t>Les fichiers sont des textes et synthèses. Les références sont des lignes, pas des pages originales.</w:t>
      </w:r>
    </w:p>
    <w:p>
      <w:pPr>
        <w:pStyle w:val="ListBullet"/>
      </w:pPr>
      <w:r>
        <w:t>Les signatures, l’exhaustivité des contrats et la situation postérieure au 8 janvier 2025 ne sont pas vérifiées.</w:t>
      </w:r>
    </w:p>
    <w:p>
      <w:pPr>
        <w:pStyle w:val="ListBullet"/>
      </w:pPr>
      <w:r>
        <w:t>Aucune pièce non consultée ne doit être interprétée comme exempte de risque.</w:t>
      </w:r>
    </w:p>
    <w:p>
      <w:pPr>
        <w:pStyle w:val="Heading1"/>
      </w:pPr>
      <w:r>
        <w:t>Synthèse des risques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535"/>
        <w:gridCol w:w="3855"/>
      </w:tblGrid>
      <w:tr>
        <w:trPr>
          <w:tblHeader/>
          <w:cantSplit/>
        </w:trPr>
        <w:tc>
          <w:tcPr>
            <w:tcW w:type="dxa" w:w="1701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ID et priorité</w:t>
            </w:r>
          </w:p>
        </w:tc>
        <w:tc>
          <w:tcPr>
            <w:tcW w:type="dxa" w:w="4535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Constat</w:t>
            </w:r>
          </w:p>
        </w:tc>
        <w:tc>
          <w:tcPr>
            <w:tcW w:type="dxa" w:w="3855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Suite proposée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DD-001</w:t>
              <w:br/>
              <w:t>Élevée</w:t>
              <w:br/>
              <w:t>à valider</w:t>
            </w:r>
          </w:p>
        </w:tc>
        <w:tc>
          <w:tcPr>
            <w:tcW w:type="dxa" w:w="4535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Les extraits du crédit prévoient un remboursement intégral des prêts cinq jours ouvrés après un changement de contrôle et l’arrêt immédiat des engagements du prêteur.</w:t>
            </w:r>
          </w:p>
        </w:tc>
        <w:tc>
          <w:tcPr>
            <w:tcW w:type="dxa" w:w="3855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Obtenir le contrat complet, les avenants et le décompte de remboursement ; faire confirmer par le juriste le consentement bancaire ou le refinancement à prévoir avant la réalisation.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DD-002</w:t>
              <w:br/>
              <w:t>Élevée</w:t>
              <w:br/>
              <w:t>à valider</w:t>
            </w:r>
          </w:p>
        </w:tc>
        <w:tc>
          <w:tcPr>
            <w:tcW w:type="dxa" w:w="4535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Le tableau vendeur présente deux scénarios de pénalité CDPHE : 450 000 USD selon la société et 1 162 500 USD selon l’agence. Il indique qu’aucune provision spécifique n’a été comptabilisée.</w:t>
            </w:r>
          </w:p>
        </w:tc>
        <w:tc>
          <w:tcPr>
            <w:tcW w:type="dxa" w:w="3855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Recouper avec les courriers de l’agence et les conseils du vendeur ; soumettre au juriste l’opportunité d’une garantie spécifique ou d’une retenue, sans assimiler automatiquement le plafond allégué à une dette certaine.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DD-003</w:t>
              <w:br/>
              <w:t>Modérée</w:t>
              <w:br/>
              <w:t>à valider</w:t>
            </w:r>
          </w:p>
        </w:tc>
        <w:tc>
          <w:tcPr>
            <w:tcW w:type="dxa" w:w="4535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Selon la synthèse vendeur, Consolidated Mining peut résilier le contrat ou un ordre de travail pour convenance avec un préavis de soixante jours.</w:t>
            </w:r>
          </w:p>
        </w:tc>
        <w:tc>
          <w:tcPr>
            <w:tcW w:type="dxa" w:w="3855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Obtenir le contrat original et ses avenants ; apprécier la stabilité de la relation et les assurances ou protections de prix pertinentes avec l’équipe de transaction.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Fiches de vérification</w:t>
      </w:r>
    </w:p>
    <w:p>
      <w:pPr>
        <w:pStyle w:val="Heading2"/>
      </w:pPr>
      <w:r>
        <w:t>DD-001 Remboursement lors du changement de contrôle</w:t>
      </w:r>
    </w:p>
    <w:p>
      <w:r>
        <w:t>Financement · Élevée · à valider</w:t>
      </w:r>
    </w:p>
    <w:p>
      <w:r>
        <w:t>Les extraits du crédit prévoient un remboursement intégral des prêts cinq jours ouvrés après un changement de contrôle et l’arrêt immédiat des engagements du prêteur.</w:t>
      </w:r>
    </w:p>
    <w:p>
      <w:r>
        <w:t>Impact : Le financement de la réalisation doit intégrer le remboursement éventuel. Le montant à décaisser et les consentements disponibles restent à confirmer dans le contrat complet et le décompte du prêteur.</w:t>
      </w:r>
    </w:p>
    <w:p>
      <w:r>
        <w:t>Suite proposée : Obtenir le contrat complet, les avenants et le décompte de remboursement ; faire confirmer par le juriste le consentement bancaire ou le refinancement à prévoir avant la réalisation.</w:t>
      </w:r>
    </w:p>
    <w:p>
      <w:r>
        <w:t>Pièces consultées (déclaration) : credit-agreement.txt</w:t>
      </w:r>
    </w:p>
    <w:p>
      <w:r>
        <w:t>Choix de la source : Disposition contractuelle plus précise qu’une présentation générale de la dette ; seules des pages extraites ont été fournies.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690"/>
      </w:tblGrid>
      <w:tr>
        <w:trPr>
          <w:tblHeader/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Source et localisation</w:t>
            </w:r>
          </w:p>
        </w:tc>
        <w:tc>
          <w:tcPr>
            <w:tcW w:type="dxa" w:w="6690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Extrait exact et contrôle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credit-agreement.txt</w:t>
              <w:br/>
              <w:t>l. 157–164 (lignes)</w:t>
              <w:br/>
              <w:t>Section 2.06(a) et (b)</w:t>
            </w:r>
          </w:p>
        </w:tc>
        <w:tc>
          <w:tcPr>
            <w:tcW w:type="dxa" w:w="6690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(a)  The Borrower shall repay the Loans in full, together with accrued and</w:t>
              <w:br/>
              <w:t xml:space="preserve">         unpaid interest, all fees and any amounts payable under Section 2.05,</w:t>
              <w:br/>
              <w:t xml:space="preserve">         on the date that is five (5) Business Days after the occurrence of a</w:t>
              <w:br/>
              <w:t xml:space="preserve">         Change of Control.</w:t>
              <w:br/>
              <w:br/>
              <w:t xml:space="preserve">    (b)  Upon and after the occurrence of a Change of Control, the Lender's</w:t>
              <w:br/>
              <w:t xml:space="preserve">         commitments to make further Loans shall immediately terminate and the</w:t>
              <w:br/>
              <w:t xml:space="preserve">         Lender shall have no obligation to make any further credit extensions.</w:t>
              <w:br/>
              <w:t>Ancrage vérifié</w:t>
            </w:r>
          </w:p>
        </w:tc>
      </w:tr>
    </w:tbl>
    <w:p/>
    <w:p>
      <w:r>
        <w:br w:type="page"/>
      </w:r>
    </w:p>
    <w:p>
      <w:pPr>
        <w:pStyle w:val="Heading2"/>
      </w:pPr>
      <w:r>
        <w:t>DD-002 Exposition CDPHE contestée et absence de provision spécifique</w:t>
      </w:r>
    </w:p>
    <w:p>
      <w:r>
        <w:t>Contentieux et environnement · Élevée · à valider</w:t>
      </w:r>
    </w:p>
    <w:p>
      <w:r>
        <w:t>Le tableau vendeur présente deux scénarios de pénalité CDPHE : 450 000 USD selon la société et 1 162 500 USD selon l’agence. Il indique qu’aucune provision spécifique n’a été comptabilisée.</w:t>
      </w:r>
    </w:p>
    <w:p>
      <w:r>
        <w:t>Impact : L’écart entre les scénarios est de 712 500 USD (1 162 500 − 450 000). Il s’agit de positions rapportées par le vendeur, sans décision finale établissant une dette de ce montant.</w:t>
      </w:r>
    </w:p>
    <w:p>
      <w:r>
        <w:t>Suite proposée : Recouper avec les courriers de l’agence et les conseils du vendeur ; soumettre au juriste l’opportunité d’une garantie spécifique ou d’une retenue, sans assimiler automatiquement le plafond allégué à une dette certaine.</w:t>
      </w:r>
    </w:p>
    <w:p>
      <w:r>
        <w:t>Pièces consultées (déclaration) : litigation-and-regulatory-matters.txt</w:t>
      </w:r>
    </w:p>
    <w:p>
      <w:r>
        <w:t>Choix de la source : Le tableau contentieux distingue explicitement les deux positions ; la décision de l’agence et les justificatifs comptables ne sont pas fournis dans cette fiche.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690"/>
      </w:tblGrid>
      <w:tr>
        <w:trPr>
          <w:tblHeader/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Source et localisation</w:t>
            </w:r>
          </w:p>
        </w:tc>
        <w:tc>
          <w:tcPr>
            <w:tcW w:type="dxa" w:w="6690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Extrait exact et contrôle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litigation-and-regulatory-matters.txt</w:t>
              <w:br/>
              <w:t>l. 39–51 (lignes)</w:t>
              <w:br/>
              <w:t>Sections 1.7 et 1.8</w:t>
            </w:r>
          </w:p>
        </w:tc>
        <w:tc>
          <w:tcPr>
            <w:tcW w:type="dxa" w:w="6690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1.7  Potential penalty. The applicable statutory maximum civil penalty is</w:t>
              <w:br/>
              <w:t xml:space="preserve">         $37,500 per day of violation. The parties differ in their</w:t>
              <w:br/>
              <w:t xml:space="preserve">         characterization of the number of days of alleged violation:</w:t>
              <w:br/>
              <w:br/>
              <w:t xml:space="preserve">           -  The Company's position is that there were 12 violation days,</w:t>
              <w:br/>
              <w:t xml:space="preserve">              implying an exposure of approximately $450,000 (12 x $37,500).</w:t>
              <w:br/>
              <w:br/>
              <w:t xml:space="preserve">           -  The CDPHE's position, as most recently communicated, is that there</w:t>
              <w:br/>
              <w:t xml:space="preserve">              were 31 violation days, implying an exposure of approximately</w:t>
              <w:br/>
              <w:t xml:space="preserve">              $1,162,500 (31 x $37,500).</w:t>
              <w:br/>
              <w:br/>
              <w:t xml:space="preserve">    1.8  Reserve. Management has not recorded a specific balance-sheet reserve</w:t>
              <w:br/>
              <w:t xml:space="preserve">         for the penalties asserted by CDPHE in this matter.</w:t>
              <w:br/>
              <w:t>Ancrage vérifié</w:t>
            </w:r>
          </w:p>
        </w:tc>
      </w:tr>
    </w:tbl>
    <w:p/>
    <w:p>
      <w:r>
        <w:br w:type="page"/>
      </w:r>
    </w:p>
    <w:p>
      <w:pPr>
        <w:pStyle w:val="Heading2"/>
      </w:pPr>
      <w:r>
        <w:t>DD-003 Résiliation discrétionnaire du contrat Consolidated Mining</w:t>
      </w:r>
    </w:p>
    <w:p>
      <w:r>
        <w:t>Contrats commerciaux · Modérée · à valider</w:t>
      </w:r>
    </w:p>
    <w:p>
      <w:r>
        <w:t>Selon la synthèse vendeur, Consolidated Mining peut résilier le contrat ou un ordre de travail pour convenance avec un préavis de soixante jours.</w:t>
      </w:r>
    </w:p>
    <w:p>
      <w:r>
        <w:t>Impact : La durée de la relation commerciale n’est pas sécurisée par cette seule synthèse. La matérialité doit être appréciée au regard des revenus concernés et du contrat original.</w:t>
      </w:r>
    </w:p>
    <w:p>
      <w:r>
        <w:t>Suite proposée : Obtenir le contrat original et ses avenants ; apprécier la stabilité de la relation et les assurances ou protections de prix pertinentes avec l’équipe de transaction.</w:t>
      </w:r>
    </w:p>
    <w:p>
      <w:r>
        <w:t>Pièces consultées (déclaration) : material-customer-contracts.txt</w:t>
      </w:r>
    </w:p>
    <w:p>
      <w:r>
        <w:t>Choix de la source : La synthèse fournie contient une description précise de la résiliation ; elle ne remplace pas le contrat sous-jacent auquel elle renvoie.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690"/>
      </w:tblGrid>
      <w:tr>
        <w:trPr>
          <w:tblHeader/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Source et localisation</w:t>
            </w:r>
          </w:p>
        </w:tc>
        <w:tc>
          <w:tcPr>
            <w:tcW w:type="dxa" w:w="6690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Extrait exact et contrôle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material-customer-contracts.txt</w:t>
              <w:br/>
              <w:t>l. 86–89 (lignes)</w:t>
              <w:br/>
              <w:t>Section 2.2</w:t>
            </w:r>
          </w:p>
        </w:tc>
        <w:tc>
          <w:tcPr>
            <w:tcW w:type="dxa" w:w="6690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2.2  Termination for convenience. The customer may terminate the agreement,</w:t>
              <w:br/>
              <w:t xml:space="preserve">         or any work order issued thereunder, for convenience upon sixty (60)</w:t>
              <w:br/>
              <w:t xml:space="preserve">         days' prior written notice to the Company. This termination-for-</w:t>
              <w:br/>
              <w:t xml:space="preserve">         convenience provision is standard for agreements of this type.</w:t>
              <w:br/>
              <w:t>Ancrage vérifié</w:t>
            </w:r>
          </w:p>
        </w:tc>
      </w:tr>
    </w:tbl>
    <w:p/>
    <w:p>
      <w:r>
        <w:br w:type="page"/>
      </w:r>
    </w:p>
    <w:p>
      <w:pPr>
        <w:pStyle w:val="Heading1"/>
      </w:pPr>
      <w:r>
        <w:t>Questions au vendeur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5102"/>
        <w:gridCol w:w="3855"/>
      </w:tblGrid>
      <w:tr>
        <w:trPr>
          <w:tblHeader/>
          <w:cantSplit/>
        </w:trPr>
        <w:tc>
          <w:tcPr>
            <w:tcW w:type="dxa" w:w="1134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855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Réponse et suivi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DD-001</w:t>
            </w:r>
          </w:p>
        </w:tc>
        <w:tc>
          <w:tcPr>
            <w:tcW w:type="dxa" w:w="51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Merci de fournir le contrat signé et ses avenants, les consentements bancaires et un décompte de remboursement à la date de réalisation.</w:t>
            </w:r>
          </w:p>
        </w:tc>
        <w:tc>
          <w:tcPr>
            <w:tcW w:type="dxa" w:w="3855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En attente de réponse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DD-002</w:t>
            </w:r>
          </w:p>
        </w:tc>
        <w:tc>
          <w:tcPr>
            <w:tcW w:type="dxa" w:w="510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Fournir les courriers CDPHE, la réponse des conseils, l’évaluation actualisée et le traitement comptable de ce dossier.</w:t>
            </w:r>
          </w:p>
        </w:tc>
        <w:tc>
          <w:tcPr>
            <w:tcW w:type="dxa" w:w="3855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En attente de réponse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DD-003</w:t>
            </w:r>
          </w:p>
        </w:tc>
        <w:tc>
          <w:tcPr>
            <w:tcW w:type="dxa" w:w="51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Fournir le MSA CMS-MSA-2019-114 signé, les avenants et les éventuels avis de résiliation ou non-renouvellement.</w:t>
            </w:r>
          </w:p>
        </w:tc>
        <w:tc>
          <w:tcPr>
            <w:tcW w:type="dxa" w:w="3855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En attente de réponse</w:t>
            </w:r>
          </w:p>
        </w:tc>
      </w:tr>
    </w:tbl>
    <w:p/>
    <w:p>
      <w:pPr>
        <w:pStyle w:val="Heading1"/>
      </w:pPr>
      <w:r>
        <w:t>Registre des pièces et limites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4422"/>
      </w:tblGrid>
      <w:tr>
        <w:trPr>
          <w:tblHeader/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Pièce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Traitement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183F45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Motif et limites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confidential-information-memorandum.txt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credit-agreement.txt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retenue</w:t>
              <w:br/>
              <w:t>Consultation :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Source de travail retenue sous réserve de l’original complet signé</w:t>
              <w:br/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employment-benefits-and-change-of-control.txt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environmental-permits-and-compliance.txt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executed-letter-of-intent.txt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fleet-capex-and-fixed-assets.csv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insurance-program-summary.txt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leases-and-real-estate-summary.txt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litigation-and-regulatory-matters.txt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retenue</w:t>
              <w:br/>
              <w:t>Consultation :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Source de travail retenue sous réserve de l’original complet signé</w:t>
              <w:br/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material-customer-contracts.txt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retenue</w:t>
              <w:br/>
              <w:t>Consultation :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Source de travail retenue sous réserve de l’original complet signé</w:t>
              <w:br/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org-chart-and-equity-structure.txt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phase-ii-esa-executive-summary.txt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qoe-data-request-response.csv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extraite</w:t>
              <w:br/>
              <w:t>à examiner</w:t>
              <w:br/>
              <w:t>Consultation : non déclarée</w:t>
            </w:r>
          </w:p>
        </w:tc>
        <w:tc>
          <w:tcPr>
            <w:tcW w:type="dxa" w:w="4422"/>
            <w:tcMar>
              <w:top w:w="85" w:type="dxa"/>
              <w:left w:w="85" w:type="dxa"/>
              <w:bottom w:w="85" w:type="dxa"/>
              <w:right w:w="85" w:type="dxa"/>
            </w:tcMar>
            <w:shd w:fill="F1F5F5"/>
          </w:tcPr>
          <w:p>
            <w:pPr>
              <w:spacing w:after="60"/>
            </w:pPr>
            <w:r>
              <w:rPr>
                <w:sz w:val="18"/>
              </w:rPr>
              <w:t>Signature non vérifiée</w:t>
            </w:r>
          </w:p>
        </w:tc>
      </w:tr>
    </w:tbl>
    <w:p/>
    <w:p>
      <w:pPr>
        <w:pStyle w:val="Heading1"/>
      </w:pPr>
      <w:r>
        <w:t>Nouveaux versements</w:t>
      </w:r>
    </w:p>
    <w:p>
      <w:r>
        <w:t>Aucun écart détecté avec le registre précédent, ou premier inventaire.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Due diligence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CONFIDENTIEL  ·  DOCUMENT DE TRAVAIL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