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tblpX="-431" w:tblpY="968"/>
        <w:tblW w:w="111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883"/>
        <w:gridCol w:w="1807"/>
        <w:gridCol w:w="1808"/>
        <w:gridCol w:w="1807"/>
        <w:gridCol w:w="1808"/>
      </w:tblGrid>
      <w:tr w:rsidR="00E5608B" w:rsidRPr="00E5608B" w14:paraId="3F77FFAD" w14:textId="77777777" w:rsidTr="00E5608B">
        <w:trPr>
          <w:tblHeader/>
          <w:tblCellSpacing w:w="15" w:type="dxa"/>
        </w:trPr>
        <w:tc>
          <w:tcPr>
            <w:tcW w:w="2036" w:type="dxa"/>
            <w:vAlign w:val="center"/>
            <w:hideMark/>
          </w:tcPr>
          <w:p w14:paraId="393D21A7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Critère / Compétence évaluée</w:t>
            </w:r>
          </w:p>
        </w:tc>
        <w:tc>
          <w:tcPr>
            <w:tcW w:w="1853" w:type="dxa"/>
            <w:vAlign w:val="center"/>
            <w:hideMark/>
          </w:tcPr>
          <w:p w14:paraId="7940E705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Attendu du programme (CA2 – Cycle 4)</w:t>
            </w:r>
          </w:p>
        </w:tc>
        <w:tc>
          <w:tcPr>
            <w:tcW w:w="1777" w:type="dxa"/>
            <w:shd w:val="clear" w:color="auto" w:fill="FF0000"/>
            <w:vAlign w:val="center"/>
            <w:hideMark/>
          </w:tcPr>
          <w:p w14:paraId="49EBA579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Insuffisant</w:t>
            </w:r>
          </w:p>
        </w:tc>
        <w:tc>
          <w:tcPr>
            <w:tcW w:w="1778" w:type="dxa"/>
            <w:shd w:val="clear" w:color="auto" w:fill="FFFF00"/>
            <w:vAlign w:val="center"/>
            <w:hideMark/>
          </w:tcPr>
          <w:p w14:paraId="7037FA21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Fragile</w:t>
            </w:r>
          </w:p>
        </w:tc>
        <w:tc>
          <w:tcPr>
            <w:tcW w:w="1777" w:type="dxa"/>
            <w:shd w:val="clear" w:color="auto" w:fill="92D050"/>
            <w:vAlign w:val="center"/>
            <w:hideMark/>
          </w:tcPr>
          <w:p w14:paraId="2E83C8C3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Satisfaisant</w:t>
            </w:r>
          </w:p>
        </w:tc>
        <w:tc>
          <w:tcPr>
            <w:tcW w:w="1763" w:type="dxa"/>
            <w:shd w:val="clear" w:color="auto" w:fill="00B050"/>
            <w:vAlign w:val="center"/>
            <w:hideMark/>
          </w:tcPr>
          <w:p w14:paraId="10B9B596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Très satisfaisant</w:t>
            </w:r>
          </w:p>
        </w:tc>
      </w:tr>
      <w:tr w:rsidR="00E5608B" w:rsidRPr="00E5608B" w14:paraId="282CF19A" w14:textId="77777777" w:rsidTr="00E5608B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799874EC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1. Lire, interpréter et exploiter la carte pour réaliser un déplacement planifié</w:t>
            </w:r>
          </w:p>
        </w:tc>
        <w:tc>
          <w:tcPr>
            <w:tcW w:w="1853" w:type="dxa"/>
            <w:vAlign w:val="center"/>
            <w:hideMark/>
          </w:tcPr>
          <w:p w14:paraId="68CA8335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Réussir un déplacement planifié dans un milieu naturel aménagé ou artificiellement recréé plus ou moins connu</w:t>
            </w:r>
          </w:p>
        </w:tc>
        <w:tc>
          <w:tcPr>
            <w:tcW w:w="1777" w:type="dxa"/>
            <w:vAlign w:val="center"/>
            <w:hideMark/>
          </w:tcPr>
          <w:p w14:paraId="3C1883A9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L’élève identifie des éléments simples mais se perd ou confond les repères carte/terrain.</w:t>
            </w:r>
          </w:p>
        </w:tc>
        <w:tc>
          <w:tcPr>
            <w:tcW w:w="1778" w:type="dxa"/>
            <w:vAlign w:val="center"/>
            <w:hideMark/>
          </w:tcPr>
          <w:p w14:paraId="137FCA75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oriente sa carte, reconnaît les repères principaux, mais se trompe dans la correspondance carte/terrain.</w:t>
            </w:r>
          </w:p>
        </w:tc>
        <w:tc>
          <w:tcPr>
            <w:tcW w:w="1777" w:type="dxa"/>
            <w:shd w:val="clear" w:color="auto" w:fill="D9F2D0" w:themeFill="accent6" w:themeFillTint="33"/>
            <w:vAlign w:val="center"/>
            <w:hideMark/>
          </w:tcPr>
          <w:p w14:paraId="288698BD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oriente sa carte à chaque changement de direction, établit des correspondances fiables carte/terrain et reste globalement situé.</w:t>
            </w:r>
          </w:p>
        </w:tc>
        <w:tc>
          <w:tcPr>
            <w:tcW w:w="1763" w:type="dxa"/>
            <w:vAlign w:val="center"/>
            <w:hideMark/>
          </w:tcPr>
          <w:p w14:paraId="4E9E40E8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lit la carte avec précision, anticipe les points d’attaque et lignes d’arrêt, et reste en permanence situé sur son itinéraire.</w:t>
            </w:r>
          </w:p>
        </w:tc>
      </w:tr>
      <w:tr w:rsidR="00E5608B" w:rsidRPr="00E5608B" w14:paraId="409596F5" w14:textId="77777777" w:rsidTr="00E5608B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5F3D7B4F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2. Concevoir et ajuster un itinéraire en fonction du terrain et de ses ressources</w:t>
            </w:r>
          </w:p>
        </w:tc>
        <w:tc>
          <w:tcPr>
            <w:tcW w:w="1853" w:type="dxa"/>
            <w:vAlign w:val="center"/>
            <w:hideMark/>
          </w:tcPr>
          <w:p w14:paraId="54B061C9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Gérer ses ressources pour réaliser en totalité un parcours sécurisé</w:t>
            </w:r>
          </w:p>
        </w:tc>
        <w:tc>
          <w:tcPr>
            <w:tcW w:w="1777" w:type="dxa"/>
            <w:vAlign w:val="center"/>
            <w:hideMark/>
          </w:tcPr>
          <w:p w14:paraId="0DA43EEE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L’élève part sans plan clair ou choisit un parcours inadapté à ses capacités.</w:t>
            </w:r>
          </w:p>
        </w:tc>
        <w:tc>
          <w:tcPr>
            <w:tcW w:w="1778" w:type="dxa"/>
            <w:vAlign w:val="center"/>
            <w:hideMark/>
          </w:tcPr>
          <w:p w14:paraId="710EDAF1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élabore un trajet globalement cohérent mais sous-estime ou surestime ses ressources.</w:t>
            </w:r>
          </w:p>
        </w:tc>
        <w:tc>
          <w:tcPr>
            <w:tcW w:w="1777" w:type="dxa"/>
            <w:shd w:val="clear" w:color="auto" w:fill="D9F2D0" w:themeFill="accent6" w:themeFillTint="33"/>
            <w:vAlign w:val="center"/>
            <w:hideMark/>
          </w:tcPr>
          <w:p w14:paraId="61F24F60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planifie un itinéraire pertinent, choisit des repères sûrs et ajuste ses choix selon les imprévus.</w:t>
            </w:r>
          </w:p>
        </w:tc>
        <w:tc>
          <w:tcPr>
            <w:tcW w:w="1763" w:type="dxa"/>
            <w:vAlign w:val="center"/>
            <w:hideMark/>
          </w:tcPr>
          <w:p w14:paraId="27DC116F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optimise son parcours, combine vitesse et précision, et ajuste son effort pour maintenir lucidité et efficacité.</w:t>
            </w:r>
          </w:p>
        </w:tc>
      </w:tr>
      <w:tr w:rsidR="00E5608B" w:rsidRPr="00E5608B" w14:paraId="648CBF7B" w14:textId="77777777" w:rsidTr="00E5608B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45CD015B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3. Gérer son effort et sa vitesse pour rester lucide tout au long du parcours</w:t>
            </w:r>
          </w:p>
        </w:tc>
        <w:tc>
          <w:tcPr>
            <w:tcW w:w="1853" w:type="dxa"/>
            <w:vAlign w:val="center"/>
            <w:hideMark/>
          </w:tcPr>
          <w:p w14:paraId="64B9DD6B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Gérer ses ressources physiques et cognitives pour réaliser en totalité un parcours sécurisé</w:t>
            </w:r>
          </w:p>
        </w:tc>
        <w:tc>
          <w:tcPr>
            <w:tcW w:w="1777" w:type="dxa"/>
            <w:vAlign w:val="center"/>
            <w:hideMark/>
          </w:tcPr>
          <w:p w14:paraId="49703826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L’élève alterne marche et course sans lien avec le terrain ni le projet de parcours.</w:t>
            </w:r>
          </w:p>
        </w:tc>
        <w:tc>
          <w:tcPr>
            <w:tcW w:w="1778" w:type="dxa"/>
            <w:vAlign w:val="center"/>
            <w:hideMark/>
          </w:tcPr>
          <w:p w14:paraId="7126E151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gère son allure par moments, mais se fatigue vite ou perd en précision de lecture.</w:t>
            </w:r>
          </w:p>
        </w:tc>
        <w:tc>
          <w:tcPr>
            <w:tcW w:w="1777" w:type="dxa"/>
            <w:shd w:val="clear" w:color="auto" w:fill="D9F2D0" w:themeFill="accent6" w:themeFillTint="33"/>
            <w:vAlign w:val="center"/>
            <w:hideMark/>
          </w:tcPr>
          <w:p w14:paraId="7B9EE69E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ajuste sa vitesse selon la difficulté du terrain, reste lucide et termine le parcours dans les temps.</w:t>
            </w:r>
          </w:p>
        </w:tc>
        <w:tc>
          <w:tcPr>
            <w:tcW w:w="1763" w:type="dxa"/>
            <w:vAlign w:val="center"/>
            <w:hideMark/>
          </w:tcPr>
          <w:p w14:paraId="1A0247E4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gère finement son effort, adapte son allure pour préserver la lucidité et maximise la performance.</w:t>
            </w:r>
          </w:p>
        </w:tc>
      </w:tr>
      <w:tr w:rsidR="00E5608B" w:rsidRPr="00E5608B" w14:paraId="70D9140A" w14:textId="77777777" w:rsidTr="00E5608B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069AC0BB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4. Assurer sa sécurité et celle de son partenaire, respecter les consignes et le milieu</w:t>
            </w:r>
          </w:p>
        </w:tc>
        <w:tc>
          <w:tcPr>
            <w:tcW w:w="1853" w:type="dxa"/>
            <w:vAlign w:val="center"/>
            <w:hideMark/>
          </w:tcPr>
          <w:p w14:paraId="79E080C0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Respecter et faire respecter les règles de sécurité, assurer la sécurité de son camarade</w:t>
            </w:r>
          </w:p>
        </w:tc>
        <w:tc>
          <w:tcPr>
            <w:tcW w:w="1777" w:type="dxa"/>
            <w:vAlign w:val="center"/>
            <w:hideMark/>
          </w:tcPr>
          <w:p w14:paraId="34B83625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L’élève connaît les règles mais les applique de manière inconstante, quitte les zones autorisées ou oublie son partenaire.</w:t>
            </w:r>
          </w:p>
        </w:tc>
        <w:tc>
          <w:tcPr>
            <w:tcW w:w="1778" w:type="dxa"/>
            <w:vAlign w:val="center"/>
            <w:hideMark/>
          </w:tcPr>
          <w:p w14:paraId="1A01EE9A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respecte les consignes essentielles mais néglige parfois la vérification de sécurité ou la gestion du temps.</w:t>
            </w:r>
          </w:p>
        </w:tc>
        <w:tc>
          <w:tcPr>
            <w:tcW w:w="1777" w:type="dxa"/>
            <w:shd w:val="clear" w:color="auto" w:fill="D9F2D0" w:themeFill="accent6" w:themeFillTint="33"/>
            <w:vAlign w:val="center"/>
            <w:hideMark/>
          </w:tcPr>
          <w:p w14:paraId="572B5685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applique les protocoles de sécurité, coopère avec son partenaire et revient dans les délais.</w:t>
            </w:r>
          </w:p>
        </w:tc>
        <w:tc>
          <w:tcPr>
            <w:tcW w:w="1763" w:type="dxa"/>
            <w:vAlign w:val="center"/>
            <w:hideMark/>
          </w:tcPr>
          <w:p w14:paraId="34A31E95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agit en responsable : anticipe les risques, soutient les pairs, et veille activement au respect du milieu et du protocole.</w:t>
            </w:r>
          </w:p>
        </w:tc>
      </w:tr>
      <w:tr w:rsidR="00E5608B" w:rsidRPr="00E5608B" w14:paraId="605E4894" w14:textId="77777777" w:rsidTr="00E5608B">
        <w:trPr>
          <w:tblCellSpacing w:w="15" w:type="dxa"/>
        </w:trPr>
        <w:tc>
          <w:tcPr>
            <w:tcW w:w="2036" w:type="dxa"/>
            <w:vAlign w:val="center"/>
            <w:hideMark/>
          </w:tcPr>
          <w:p w14:paraId="52E2C2A3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5. Analyser sa performance et tirer des enseignements pour progresser</w:t>
            </w:r>
          </w:p>
        </w:tc>
        <w:tc>
          <w:tcPr>
            <w:tcW w:w="1853" w:type="dxa"/>
            <w:vAlign w:val="center"/>
            <w:hideMark/>
          </w:tcPr>
          <w:p w14:paraId="6051BC8E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Identifier les causes expliquant les réussites ou les erreurs et adapter ses choix lors d’une prochaine course</w:t>
            </w:r>
          </w:p>
        </w:tc>
        <w:tc>
          <w:tcPr>
            <w:tcW w:w="1777" w:type="dxa"/>
            <w:vAlign w:val="center"/>
            <w:hideMark/>
          </w:tcPr>
          <w:p w14:paraId="3ABB8F85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L’élève peine à expliquer ses réussites ou ses erreurs.</w:t>
            </w:r>
          </w:p>
        </w:tc>
        <w:tc>
          <w:tcPr>
            <w:tcW w:w="1778" w:type="dxa"/>
            <w:vAlign w:val="center"/>
            <w:hideMark/>
          </w:tcPr>
          <w:p w14:paraId="487DA56D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décrit partiellement son parcours mais ne relie pas toujours erreurs et causes.</w:t>
            </w:r>
          </w:p>
        </w:tc>
        <w:tc>
          <w:tcPr>
            <w:tcW w:w="1777" w:type="dxa"/>
            <w:shd w:val="clear" w:color="auto" w:fill="D9F2D0" w:themeFill="accent6" w:themeFillTint="33"/>
            <w:vAlign w:val="center"/>
            <w:hideMark/>
          </w:tcPr>
          <w:p w14:paraId="174024B6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analyse ses réussites et erreurs, identifie les points sûrs et propose des ajustements.</w:t>
            </w:r>
          </w:p>
        </w:tc>
        <w:tc>
          <w:tcPr>
            <w:tcW w:w="1763" w:type="dxa"/>
            <w:vAlign w:val="center"/>
            <w:hideMark/>
          </w:tcPr>
          <w:p w14:paraId="12CD12FE" w14:textId="77777777" w:rsidR="00E5608B" w:rsidRPr="00E5608B" w:rsidRDefault="00E5608B" w:rsidP="00E5608B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</w:pPr>
            <w:r w:rsidRPr="00E5608B">
              <w:rPr>
                <w:rFonts w:ascii="Calibri" w:eastAsia="Times New Roman" w:hAnsi="Calibri" w:cs="Calibri"/>
                <w:kern w:val="0"/>
                <w:sz w:val="22"/>
                <w:szCs w:val="22"/>
                <w:lang w:eastAsia="fr-FR"/>
                <w14:ligatures w14:val="none"/>
              </w:rPr>
              <w:t>Il restitue avec précision son itinéraire, argumente ses choix et élabore une stratégie d’amélioration pour la suite.</w:t>
            </w:r>
          </w:p>
        </w:tc>
      </w:tr>
    </w:tbl>
    <w:p w14:paraId="1C44873F" w14:textId="1885FEED" w:rsidR="00E5608B" w:rsidRPr="00E5608B" w:rsidRDefault="00E5608B" w:rsidP="00E5608B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</w:pPr>
      <w:r w:rsidRPr="00E5608B">
        <w:rPr>
          <w:rFonts w:ascii="Calibri" w:eastAsia="Times New Roman" w:hAnsi="Calibri" w:cs="Calibri"/>
          <w:b/>
          <w:bCs/>
          <w:kern w:val="0"/>
          <w:sz w:val="36"/>
          <w:szCs w:val="36"/>
          <w:lang w:eastAsia="fr-FR"/>
          <w14:ligatures w14:val="none"/>
        </w:rPr>
        <w:t>Grille d’évaluation – Course d’orientation (Cycle 4 – Collège)</w:t>
      </w:r>
    </w:p>
    <w:p w14:paraId="1CE4DD64" w14:textId="77777777" w:rsidR="00A91D25" w:rsidRDefault="00A91D25"/>
    <w:sectPr w:rsidR="00A91D25" w:rsidSect="00E560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8B"/>
    <w:rsid w:val="00431B2E"/>
    <w:rsid w:val="00670315"/>
    <w:rsid w:val="00945800"/>
    <w:rsid w:val="00A91D25"/>
    <w:rsid w:val="00E5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2F883D"/>
  <w15:chartTrackingRefBased/>
  <w15:docId w15:val="{FB7A012D-190D-ED4A-B678-DF45570F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6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6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6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6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5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60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60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60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60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60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60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60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60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60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60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60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56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E56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8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474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1</cp:revision>
  <dcterms:created xsi:type="dcterms:W3CDTF">2025-10-30T10:55:00Z</dcterms:created>
  <dcterms:modified xsi:type="dcterms:W3CDTF">2025-10-30T11:00:00Z</dcterms:modified>
</cp:coreProperties>
</file>