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EDE86B" w14:textId="3A6A2C6B" w:rsidR="00126BAB" w:rsidRPr="00126BAB" w:rsidRDefault="00126BAB" w:rsidP="00126BAB">
      <w:pPr>
        <w:pStyle w:val="Titre1"/>
        <w:rPr>
          <w:rFonts w:ascii="Times New Roman" w:hAnsi="Times New Roman" w:cs="Times New Roman"/>
          <w:lang w:val="fr-FR"/>
        </w:rPr>
      </w:pPr>
      <w:r w:rsidRPr="00126BAB">
        <w:rPr>
          <w:rFonts w:ascii="Times New Roman" w:hAnsi="Times New Roman" w:cs="Times New Roman"/>
          <w:lang w:val="fr-FR"/>
        </w:rPr>
        <w:t>Fiches situations d’apprentissag</w:t>
      </w:r>
      <w:r>
        <w:rPr>
          <w:rFonts w:ascii="Times New Roman" w:hAnsi="Times New Roman" w:cs="Times New Roman"/>
          <w:lang w:val="fr-FR"/>
        </w:rPr>
        <w:t xml:space="preserve">e - </w:t>
      </w:r>
      <w:r w:rsidRPr="00126BAB">
        <w:rPr>
          <w:rFonts w:ascii="Times New Roman" w:hAnsi="Times New Roman" w:cs="Times New Roman"/>
          <w:lang w:val="fr-FR"/>
        </w:rPr>
        <w:t>Tennis de table</w:t>
      </w:r>
    </w:p>
    <w:p w14:paraId="3C728F30" w14:textId="77777777" w:rsidR="00A91D25" w:rsidRDefault="00A91D25">
      <w:pPr>
        <w:rPr>
          <w:lang w:val="fr-FR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6"/>
        <w:gridCol w:w="1978"/>
        <w:gridCol w:w="1363"/>
        <w:gridCol w:w="1690"/>
        <w:gridCol w:w="2122"/>
        <w:gridCol w:w="2039"/>
        <w:gridCol w:w="2361"/>
        <w:gridCol w:w="2219"/>
      </w:tblGrid>
      <w:tr w:rsidR="00126BAB" w:rsidRPr="00126BAB" w14:paraId="2E848984" w14:textId="77777777" w:rsidTr="00126BAB">
        <w:trPr>
          <w:tblHeader/>
          <w:tblCellSpacing w:w="15" w:type="dxa"/>
        </w:trPr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46711977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Situation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BEAC0FE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Objectif d’apprentissage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7FADD83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Type de savoir &amp; Public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6E10D390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Organisation matérielle &amp; humaine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16912796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Consignes détaillées aux élèves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59A86B19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Critères de réussite et indicateurs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2D219478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Points de vigilance pour l’enseignant</w:t>
            </w:r>
          </w:p>
        </w:tc>
        <w:tc>
          <w:tcPr>
            <w:tcW w:w="0" w:type="auto"/>
            <w:shd w:val="clear" w:color="auto" w:fill="D1D1D1" w:themeFill="background2" w:themeFillShade="E6"/>
            <w:vAlign w:val="center"/>
            <w:hideMark/>
          </w:tcPr>
          <w:p w14:paraId="7C499921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Différenciation / Variables</w:t>
            </w:r>
          </w:p>
        </w:tc>
      </w:tr>
      <w:tr w:rsidR="00126BAB" w:rsidRPr="00126BAB" w14:paraId="09923258" w14:textId="77777777" w:rsidTr="00126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C5077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Tâche 1 – Service intentionnel avec zones cibles</w:t>
            </w:r>
          </w:p>
        </w:tc>
        <w:tc>
          <w:tcPr>
            <w:tcW w:w="0" w:type="auto"/>
            <w:vAlign w:val="center"/>
            <w:hideMark/>
          </w:tcPr>
          <w:p w14:paraId="60C7B1F5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Construire une mise en jeu réglementaire et intentionnelle dans une zone précise pour initier le projet tactique.</w:t>
            </w:r>
          </w:p>
        </w:tc>
        <w:tc>
          <w:tcPr>
            <w:tcW w:w="0" w:type="auto"/>
            <w:vAlign w:val="center"/>
            <w:hideMark/>
          </w:tcPr>
          <w:p w14:paraId="6802DDD7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Savoir-faire technique (service). • Public lycée (débutants → confirmés).</w:t>
            </w:r>
          </w:p>
        </w:tc>
        <w:tc>
          <w:tcPr>
            <w:tcW w:w="0" w:type="auto"/>
            <w:vAlign w:val="center"/>
            <w:hideMark/>
          </w:tcPr>
          <w:p w14:paraId="51057924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1 table, 2 élèves. • 1 panier (12 à 20 balles). • 4 à 6 zones matérialisées sur la 2e demi-table.</w:t>
            </w:r>
          </w:p>
        </w:tc>
        <w:tc>
          <w:tcPr>
            <w:tcW w:w="0" w:type="auto"/>
            <w:vAlign w:val="center"/>
            <w:hideMark/>
          </w:tcPr>
          <w:p w14:paraId="5A053377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Présenter la balle dans la paume. • Lancer droit puis frapper à la descente. • Faire rebondir sur sa demi-table puis viser la zone imposée. • 1 série = 6 services (une zone imposée à chaque fois).</w:t>
            </w:r>
          </w:p>
        </w:tc>
        <w:tc>
          <w:tcPr>
            <w:tcW w:w="0" w:type="auto"/>
            <w:vAlign w:val="center"/>
            <w:hideMark/>
          </w:tcPr>
          <w:p w14:paraId="149450D2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4 zones touchées / 6. • Service réglementaire. • Trajectoire contrôlée (ni trop haute ni trop tendue).</w:t>
            </w:r>
          </w:p>
        </w:tc>
        <w:tc>
          <w:tcPr>
            <w:tcW w:w="0" w:type="auto"/>
            <w:vAlign w:val="center"/>
            <w:hideMark/>
          </w:tcPr>
          <w:p w14:paraId="18ED540B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Hauteur du lancer. • Qualité du contact balle/raquette. • Stabilité des appuis.</w:t>
            </w:r>
          </w:p>
        </w:tc>
        <w:tc>
          <w:tcPr>
            <w:tcW w:w="0" w:type="auto"/>
            <w:vAlign w:val="center"/>
            <w:hideMark/>
          </w:tcPr>
          <w:p w14:paraId="63BDF5F9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Simplification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zones élargies, 2 essais par service. </w:t>
            </w: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Complexification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zones réduites, alternance CD/RV, introduction d’un effet simple.</w:t>
            </w:r>
          </w:p>
        </w:tc>
      </w:tr>
      <w:tr w:rsidR="00126BAB" w:rsidRPr="00126BAB" w14:paraId="102BAD7A" w14:textId="77777777" w:rsidTr="00126BAB">
        <w:trPr>
          <w:tblCellSpacing w:w="15" w:type="dxa"/>
        </w:trPr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48A20820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Tâche 2 – Renvoi maîtrisé CD / RV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B1E8946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Assurer la continuité en CD et RV sur balle sans effet. Réduire fautes directes.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D84E725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Savoir-faire technique (renvoi). • Public : lycée, tout niveau.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5EA4506E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1 table, 2 élèves. • 1 panier (20 balles). • Le distributeur lance la balle (sans raquette).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60AE6B91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Distribution : rebond sur la demi-table du joueur puis sur la demi-table adverse. • Le joueur renvoie : 10 balles en CD / 10 en RV. • Objectif : retomber sur la ½ table adverse.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1E619130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7/10 renvois réussis en CD puis RV. • Trajectoire régulière (hauteur moyenne). • Moins d’erreurs de longueur/largeur.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00BAD6A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Orientation raquette. • Distance à la table. • Moment de frappe (au sommet du rebond).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B088037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Simplification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balle mousse, se rapprocher de la table. </w:t>
            </w: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Complexification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zones de renvoi imposées, alternance CD/RV dans la même série.</w:t>
            </w:r>
          </w:p>
        </w:tc>
      </w:tr>
      <w:tr w:rsidR="00126BAB" w:rsidRPr="00126BAB" w14:paraId="19804BD0" w14:textId="77777777" w:rsidTr="00126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ADF95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Tâche 3 – Échange coopératif + déplacements</w:t>
            </w:r>
          </w:p>
        </w:tc>
        <w:tc>
          <w:tcPr>
            <w:tcW w:w="0" w:type="auto"/>
            <w:vAlign w:val="center"/>
            <w:hideMark/>
          </w:tcPr>
          <w:p w14:paraId="14505529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Maintenir un échange long, avec déplacements éventuels, en coopérant.</w:t>
            </w:r>
          </w:p>
        </w:tc>
        <w:tc>
          <w:tcPr>
            <w:tcW w:w="0" w:type="auto"/>
            <w:vAlign w:val="center"/>
            <w:hideMark/>
          </w:tcPr>
          <w:p w14:paraId="68DFCD4D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Savoir-échanger / continuité. • Public : tous niveaux.</w:t>
            </w:r>
          </w:p>
        </w:tc>
        <w:tc>
          <w:tcPr>
            <w:tcW w:w="0" w:type="auto"/>
            <w:vAlign w:val="center"/>
            <w:hideMark/>
          </w:tcPr>
          <w:p w14:paraId="6CD3E0C8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1 table, 2 joueurs. • Possibilité de matérialiser plots de déplacement.</w:t>
            </w:r>
          </w:p>
        </w:tc>
        <w:tc>
          <w:tcPr>
            <w:tcW w:w="0" w:type="auto"/>
            <w:vAlign w:val="center"/>
            <w:hideMark/>
          </w:tcPr>
          <w:p w14:paraId="17634262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Phase 1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échange simple, objectif 20 renvois. </w:t>
            </w: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Phase 2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petit déplacement latéral ou avant/arrière avant chaque frappe. </w:t>
            </w: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lastRenderedPageBreak/>
              <w:t>Phase 3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service → 10 renvois → rupture possible.</w:t>
            </w:r>
          </w:p>
        </w:tc>
        <w:tc>
          <w:tcPr>
            <w:tcW w:w="0" w:type="auto"/>
            <w:vAlign w:val="center"/>
            <w:hideMark/>
          </w:tcPr>
          <w:p w14:paraId="55F66877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lastRenderedPageBreak/>
              <w:t>• 15 renvois minimum. • Qualité des trajectoires + régularité. • Déplacements courts, précis, fluides.</w:t>
            </w:r>
          </w:p>
        </w:tc>
        <w:tc>
          <w:tcPr>
            <w:tcW w:w="0" w:type="auto"/>
            <w:vAlign w:val="center"/>
            <w:hideMark/>
          </w:tcPr>
          <w:p w14:paraId="69128647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Coordination bras/jambes. • Rythme des déplacements. • Ajustement distance table.</w:t>
            </w:r>
          </w:p>
        </w:tc>
        <w:tc>
          <w:tcPr>
            <w:tcW w:w="0" w:type="auto"/>
            <w:vAlign w:val="center"/>
            <w:hideMark/>
          </w:tcPr>
          <w:p w14:paraId="06B644F6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Simplification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sans déplacement, vitesse réduite. </w:t>
            </w: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Complexification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schémas imposés (droite/gauche), zones à atteindre.</w:t>
            </w:r>
          </w:p>
        </w:tc>
      </w:tr>
      <w:tr w:rsidR="00126BAB" w:rsidRPr="00126BAB" w14:paraId="00C45A3C" w14:textId="77777777" w:rsidTr="00126BA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9381C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Situation tactique 1 – Rupture spatiale (jeu en largeur)</w:t>
            </w:r>
          </w:p>
        </w:tc>
        <w:tc>
          <w:tcPr>
            <w:tcW w:w="0" w:type="auto"/>
            <w:vAlign w:val="center"/>
            <w:hideMark/>
          </w:tcPr>
          <w:p w14:paraId="331A8A4D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Déplacer l’adversaire latéralement pour créer des ouvertures et marquer dans la zone libre.</w:t>
            </w:r>
          </w:p>
        </w:tc>
        <w:tc>
          <w:tcPr>
            <w:tcW w:w="0" w:type="auto"/>
            <w:vAlign w:val="center"/>
            <w:hideMark/>
          </w:tcPr>
          <w:p w14:paraId="1C3876AE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Savoir-tactique / projet de placement. • Public lycée.</w:t>
            </w:r>
          </w:p>
        </w:tc>
        <w:tc>
          <w:tcPr>
            <w:tcW w:w="0" w:type="auto"/>
            <w:vAlign w:val="center"/>
            <w:hideMark/>
          </w:tcPr>
          <w:p w14:paraId="3D2DA85C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1 table, 2 joueurs + 1 coach. • Zones latérales matérialisées. • Feuille de super-points.</w:t>
            </w:r>
          </w:p>
        </w:tc>
        <w:tc>
          <w:tcPr>
            <w:tcW w:w="0" w:type="auto"/>
            <w:vAlign w:val="center"/>
            <w:hideMark/>
          </w:tcPr>
          <w:p w14:paraId="1BA09F46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Annoncer la zone de rupture (droite/gauche). • Fixer puis déplacer l’adversaire. • Placer dans zone annoncée pour super-point.</w:t>
            </w:r>
          </w:p>
        </w:tc>
        <w:tc>
          <w:tcPr>
            <w:tcW w:w="0" w:type="auto"/>
            <w:vAlign w:val="center"/>
            <w:hideMark/>
          </w:tcPr>
          <w:p w14:paraId="7C0B0FB3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Ratio super-points spatiaux &gt; 20 %. • Cohérence annonce / action.</w:t>
            </w:r>
          </w:p>
        </w:tc>
        <w:tc>
          <w:tcPr>
            <w:tcW w:w="0" w:type="auto"/>
            <w:vAlign w:val="center"/>
            <w:hideMark/>
          </w:tcPr>
          <w:p w14:paraId="4F664CF9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Vérifier qualité des placements préparatoires. • Variabilité des trajectoires (croisées/décroisées).</w:t>
            </w:r>
          </w:p>
        </w:tc>
        <w:tc>
          <w:tcPr>
            <w:tcW w:w="0" w:type="auto"/>
            <w:vAlign w:val="center"/>
            <w:hideMark/>
          </w:tcPr>
          <w:p w14:paraId="22A3CB8B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Simplification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zones plus larges. </w:t>
            </w: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Complexification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zones réduites, obligation d’annoncer avant chaque service.</w:t>
            </w:r>
          </w:p>
        </w:tc>
      </w:tr>
      <w:tr w:rsidR="00126BAB" w:rsidRPr="00126BAB" w14:paraId="4158739A" w14:textId="77777777" w:rsidTr="00126BAB">
        <w:trPr>
          <w:tblCellSpacing w:w="15" w:type="dxa"/>
        </w:trPr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7C64EE5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Situation tactique 2 – Rupture temporelle (jeu en vitesse)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5DCD6947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Exploiter balles hautes/lentes pour accélérer et réduire le temps de réaction adverse.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2C4CB614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Savoir-tactique / gestion du tempo. • Public lycée.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15F1E101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1 table, 2 joueurs + 1 coach. • Panier possible. • Fiche d’observation.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7B519EA1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• Identifier balle favorable (haute/lente). • Accélérer (smash, top frappé, bloc actif). • Marquer immédiatement après l’accélération </w:t>
            </w:r>
            <w:r w:rsidRPr="00126BAB">
              <w:rPr>
                <w:rFonts w:ascii="Cambria Math" w:eastAsia="Times New Roman" w:hAnsi="Cambria Math" w:cs="Cambria Math"/>
                <w:kern w:val="0"/>
                <w:lang w:eastAsia="fr-FR"/>
                <w14:ligatures w14:val="none"/>
              </w:rPr>
              <w:t>⇒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super-point.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053F7A55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Ratio super-points temporels &gt; 30 %. • Diminution attaques sur balles défavorables.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6F44BB4F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>• Lecture des trajectoires. • Frappe engagée mais contrôlée.</w:t>
            </w:r>
          </w:p>
        </w:tc>
        <w:tc>
          <w:tcPr>
            <w:tcW w:w="0" w:type="auto"/>
            <w:shd w:val="clear" w:color="auto" w:fill="F2CEED" w:themeFill="accent5" w:themeFillTint="33"/>
            <w:vAlign w:val="center"/>
            <w:hideMark/>
          </w:tcPr>
          <w:p w14:paraId="3AD2BAE3" w14:textId="77777777" w:rsidR="00126BAB" w:rsidRPr="00126BAB" w:rsidRDefault="00126BAB" w:rsidP="00126B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</w:pP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Simplification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distribution aménagée. </w:t>
            </w:r>
            <w:r w:rsidRPr="00126BAB">
              <w:rPr>
                <w:rFonts w:ascii="Times New Roman" w:eastAsia="Times New Roman" w:hAnsi="Times New Roman" w:cs="Times New Roman"/>
                <w:b/>
                <w:bCs/>
                <w:kern w:val="0"/>
                <w:lang w:eastAsia="fr-FR"/>
                <w14:ligatures w14:val="none"/>
              </w:rPr>
              <w:t>Complexification :</w:t>
            </w:r>
            <w:r w:rsidRPr="00126BAB">
              <w:rPr>
                <w:rFonts w:ascii="Times New Roman" w:eastAsia="Times New Roman" w:hAnsi="Times New Roman" w:cs="Times New Roman"/>
                <w:kern w:val="0"/>
                <w:lang w:eastAsia="fr-FR"/>
                <w14:ligatures w14:val="none"/>
              </w:rPr>
              <w:t xml:space="preserve"> adversaire varie effets/vitesse.</w:t>
            </w:r>
          </w:p>
        </w:tc>
      </w:tr>
    </w:tbl>
    <w:p w14:paraId="1C37883F" w14:textId="77777777" w:rsidR="00126BAB" w:rsidRPr="00126BAB" w:rsidRDefault="00126BAB"/>
    <w:sectPr w:rsidR="00126BAB" w:rsidRPr="00126BAB" w:rsidSect="00126BAB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BAB"/>
    <w:rsid w:val="00126BAB"/>
    <w:rsid w:val="00431B2E"/>
    <w:rsid w:val="005D0033"/>
    <w:rsid w:val="00945800"/>
    <w:rsid w:val="00A9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AEBB98F"/>
  <w15:chartTrackingRefBased/>
  <w15:docId w15:val="{2355A0E9-4D77-5D49-B30A-E900B752E9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126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26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26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26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26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26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26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26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26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26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26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26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26BA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26BA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26BA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26BA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26BA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26BA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26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26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26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26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26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26BA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26BA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26BA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26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26BA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126BA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26B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customStyle="1" w:styleId="s1">
    <w:name w:val="s1"/>
    <w:basedOn w:val="Policepardfaut"/>
    <w:rsid w:val="00126B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278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624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DEANAZ Cédric</dc:creator>
  <cp:keywords/>
  <dc:description/>
  <cp:lastModifiedBy>DEANAZ Cédric</cp:lastModifiedBy>
  <cp:revision>1</cp:revision>
  <dcterms:created xsi:type="dcterms:W3CDTF">2025-11-16T13:25:00Z</dcterms:created>
  <dcterms:modified xsi:type="dcterms:W3CDTF">2025-11-16T13:31:00Z</dcterms:modified>
</cp:coreProperties>
</file>