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E3382C"/>
          <w:sz w:val="20"/>
          <w:szCs w:val="20"/>
        </w:rPr>
        <w:t xml:space="preserve">Séquence d’enseignement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C2B6E"/>
          <w:sz w:val="40"/>
          <w:szCs w:val="40"/>
        </w:rPr>
        <w:t xml:space="preserve">Tennis de table · Lycée</w:t>
      </w:r>
    </w:p>
    <w:p>
      <w:pPr>
        <w:spacing w:after="200" w:before="0" w:line="276"/>
      </w:pPr>
      <w:r>
        <w:rPr>
          <w:rFonts w:ascii="Arial" w:cs="Arial" w:eastAsia="Arial" w:hAnsi="Arial"/>
          <w:color w:val="5B6475"/>
          <w:sz w:val="20"/>
          <w:szCs w:val="20"/>
        </w:rPr>
        <w:t xml:space="preserve">Champ d’apprentissage 4 · Conduire et maîtriser un affrontement individuel ou collectif · 10 leçons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Public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Élèves de lycée (Seconde et Première), niveaux hétérogènes.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Durée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leçons. Durées données pour environ 55 minutes de pratique effective, à adapter au créneau.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table pour 3 ou 4 élèves. Binômes stables à partir de la leçon 3. Rotation joueur, coach, arbitre.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Version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de travail, à relire avec l’équipe EPS (formation de novembre 2026).</w:t>
            </w:r>
          </w:p>
        </w:tc>
      </w:tr>
    </w:tbl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1. Ce que l’on veut faire apprendre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Gagner un match en construisant le point : créer et exploiter les balles favorables, varier placements et vitesses, prendre l’initiative dès le service, lire le rapport de force, et tenir avec fiabilité les rôles d’arbitre et de coach.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C2B6E"/>
          <w:sz w:val="23"/>
          <w:szCs w:val="23"/>
        </w:rPr>
        <w:t xml:space="preserve">Les attendus de fin de lycée dans l’activité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100"/>
      </w:tblGrid>
      <w:tr>
        <w:trPr>
          <w:cantSplit/>
          <w:tblHeader/>
        </w:trPr>
        <w:tc>
          <w:tcPr>
            <w:tcW w:type="dxa" w:w="1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AFL</w:t>
            </w:r>
          </w:p>
        </w:tc>
        <w:tc>
          <w:tcPr>
            <w:tcW w:type="dxa" w:w="8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cela signifie en tennis de table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AFL1</w:t>
            </w:r>
          </w:p>
        </w:tc>
        <w:tc>
          <w:tcPr>
            <w:tcW w:type="dxa" w:w="8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S’engager pour gagner une rencontre en faisant des choix techniques et tactiques pertinents : servir avec intention, identifier la balle favorable, rompre dans l’espace ou dans le temps.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AFL2</w:t>
            </w:r>
          </w:p>
        </w:tc>
        <w:tc>
          <w:tcPr>
            <w:tcW w:type="dxa" w:w="8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préparer et s’entraîner pour conduire l’affrontement : échauffement adapté, travail en binôme sur ses points faibles, choix de son projet tactique.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AFL3</w:t>
            </w:r>
          </w:p>
        </w:tc>
        <w:tc>
          <w:tcPr>
            <w:tcW w:type="dxa" w:w="8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Choisir et assumer les rôles qui permettent un fonctionnement collectif : arbitrer de façon fiable, observer et conseiller en trois informations.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C2B6E"/>
          <w:sz w:val="23"/>
          <w:szCs w:val="23"/>
        </w:rPr>
        <w:t xml:space="preserve">Trois contenus prioritaires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Le service intentionnel : une mise en jeu réglementaire, dirigée vers une zone, qui prépare le coup suivant.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La balle favorable et la rupture : reconnaître la balle haute, courte ou lente, et choisir entre accélérer (rupture temporelle) et placer (rupture spatiale).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La continuité et le replacement : renvoyer avec régularité, se replacer après la frappe pour rester disponible.</w:t>
      </w:r>
    </w:p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2. La situation de référence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Format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en 20 points, une seule manche, 10 services chacun (alternance tous les deux points).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Super-points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joueur annonce son projet (rupture spatiale ou temporelle). Un point gagné en cohérence avec ce projet compte double.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Rôles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Joueur, arbitre (score, annonces, validation des super-points, feuille de match), coach (fiche d’observation, trois informations à 10 points).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Déroulement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min d’installation et d’annonce des projets · 15 à 20 min de match · 1 min de concertation à 10 points · 5 min de saisie et de retour.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Ce que l’on observe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Tactique : cohérence du projet, exploitation des balles favorables, ratio de super-points. Technique : qualité du service, continuité, choix attaque / maintien. Méthode et rôles : tenue du rôle, respect des règles, objectivité de l’analyse.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Utilisations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Sans super-points en leçon 1 (diagnostic) · avec super-points en cours de séquence · support de l’évaluation finale.</w:t>
            </w:r>
          </w:p>
        </w:tc>
      </w:tr>
    </w:tbl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3. La séquence en un coup d’œil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000"/>
        <w:gridCol w:w="2800"/>
        <w:gridCol w:w="1900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Leçon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Thème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Situation support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Production attendue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 du coach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Diagnostic initial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courts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Chaque élève repart avec un point fort et un axe prioritaire identifiés.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Compte les fautes directes et les échanges longs ; restitue un point fort et un axe prioritaire.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Continuité coup droit / revers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Tâche 2 · renvoi maîtrisé · Match à thème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renvois réussis sur 10 dans la demi-table adverse.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Compte les réussites sur 10, repère l’erreur la plus fréquente (orientation de la raquette, distance, moment de frappe).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intentionnel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Tâche 1 · service à zones · Service + 1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zones touchées sur 6, service réglementaire.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 les zones réussies, repère le service le plus efficace du joueur.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Balle favorable et rupture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Demi-table puis zone libre · Match à super-points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ruptures réussies sur 10 échanges.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Coche les balles favorables et le choix du joueur (attaque ou maintien).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 tactique · rupture spatiale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Situation tactique 1 · Match à thème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Plus de 20 % de super-points spatiaux.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Suit le ratio de super-points, repère la zone latérale la plus rentable.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Projet tactique · rupture temporelle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Situation tactique 2 · Match à thème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accélérations réussies par match ; plus de 30 % de super-points temporels.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les occasions d’accélérer et les réussites.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à thème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à deux sets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Plus de 30 % de super-points sur le projet choisi.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Compare l’efficacité des deux projets et aide à choisir.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Arbitrage et coaching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Rotation des trois rôles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Feuille de match sans erreur ; conseils courts et exploitables.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Remplit la fiche d’observation, donne trois informations maximum à mi-match.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Tournoi préparatoire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Tournoi en poules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Plus de 40 % de super-points.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Aide à l’auto-évaluation, fixe les priorités avec le joueur.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Évaluation</w:t>
            </w:r>
          </w:p>
        </w:tc>
        <w:tc>
          <w:tcPr>
            <w:tcW w:type="dxa" w:w="2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Situation de référence</w:t>
            </w:r>
          </w:p>
        </w:tc>
        <w:tc>
          <w:tcPr>
            <w:tcW w:type="dxa" w:w="1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Indicateurs de la grille d’évaluation.</w:t>
            </w:r>
          </w:p>
        </w:tc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Conseils à mi-match.</w:t>
            </w:r>
          </w:p>
        </w:tc>
      </w:tr>
    </w:tbl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4. Le détail des leçons</w:t>
      </w:r>
    </w:p>
    <w:p>
      <w:pPr>
        <w:keepNext/>
        <w:shd w:fill="1C2B6E" w:color="auto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1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Diagnostic initial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Situer chaque élève dans le jeu : continuité, fautes directes, zones jouées. Constituer les groupes de niveau.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Échanges libres demi-table, puis table entière.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Matchs courts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en 11 points, service libre, rotation montante-descendante. Situation de référence sans super-points.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intégrée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Chaque joueur est observé par un camarade : nombre d’échanges de plus de 3 frappes, fautes directes, zones jouées.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Chaque élève repart avec un point fort et un axe prioritaire identifiés.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Compte les fautes directes et les échanges longs ; restitue un point fort et un axe prioritaire.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Balle mousse ou demi-table pour les élèves en difficulté.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2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Continuité coup droit / revers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Stabiliser le renvoi en coup droit et en revers ; réduire les fautes de longueur et de largeur.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Échange coopératif (tâche 3, phase 1).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Tâche 2 · renvoi maîtrisé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× 10 balles distribuées à la main, en coup droit puis en revers, puis 5 séries en alternance.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à thème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 11 points : un point bonus après chaque échange de plus de 5 frappes.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renvois réussis sur 10 dans la demi-table adverse.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Compte les réussites sur 10, repère l’erreur la plus fréquente (orientation de la raquette, distance, moment de frappe).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Simplifier : balle mousse, se rapprocher de la table. Complexifier : zones de renvoi imposées.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3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Service intentionnel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Construire le point dès le service : viser une zone, enchaîner sur un premier coup placé.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Échange coopératif avec petits déplacements (tâche 3, phase 2).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Tâche 1 · service à zones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zones sur la demi-table adverse, une zone imposée par service, séries de 6.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 + 1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vers une zone, puis premier coup placé sur la balle remise. Les binômes deviennent stables.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zones touchées sur 6, service réglementaire.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les zones réussies, repère le service le plus efficace du joueur.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Simplifier : zones élargies, deux essais. Complexifier : zones réduites, alternance CD/RV, effet simple.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4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Balle favorable et rupture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Distinguer balle neutre et balle favorable ; déclencher la rupture au bon moment. Introduction des super-points.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Tâche 2 en alternance CD/RV.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Demi-table puis zone libre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Échange sur une demi-table ; sur balle favorable, le joueur ouvre vers la zone libre.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à super-points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 11 points : un point gagné juste après une rupture compte double (super-point).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ruptures réussies sur 10 échanges.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Coche les balles favorables et le choix du joueur (attaque ou maintien).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aménagée pour multiplier les balles favorables.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5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Projet tactique · rupture spatiale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Jouer sur la largeur pour déplacer l’adversaire et marquer dans la zone libre.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+ 1 vers les zones latérales.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 tactique 1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Zones latérales matérialisées ; le joueur annonce sa zone de rupture, fixe puis déplace l’adversaire.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à thème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 20 points, super-points spatiaux uniquement.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 de 20 % de super-points spatiaux.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Suit le ratio de super-points, repère la zone latérale la plus rentable.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Simplifier : zones larges. Complexifier : annonce obligatoire avant chaque service.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6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Projet tactique · rupture temporelle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Exploiter les balles hautes ou lentes pour accélérer ou bloquer activement.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Tâche 2 avec balles hautes distribuées.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 tactique 2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Smash sur balle haute (6/10), bloc actif (7/10), puis échange libre avec accélération.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à thème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 20 points, super-points temporels uniquement.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accélérations réussies par match ; plus de 30 % de super-points temporels.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les occasions d’accélérer et les réussites.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Simplifier : distribution aménagée. Complexifier : l’adversaire varie effets et vitesses.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7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Matchs à thème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Stabiliser un projet et l’adapter à l’adversaire.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Routine autonome du binôme.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Matchs à deux sets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1 en rupture spatiale, set 2 en rupture temporelle ; super-points cohérents avec le projet annoncé.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Bilan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 joueur choisit le projet qui lui rapporte le plus.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 de 30 % de super-points sur le projet choisi.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l’efficacité des deux projets et aide à choisir.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Adversaires de niveau proche.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8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Arbitrage et coaching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Arbitrer avec fiabilité ; conseiller un partenaire en trois informations.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Routine autonome.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Rotation des trois rôles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en 20 points : joueur, coach, arbitre. Feuille de match et fiche d’observation complètes.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Retour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Chaque coach restitue un point fort, une faiblesse, un conseil.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Feuille de match sans erreur ; conseils courts et exploitables.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Remplit la fiche d’observation, donne trois informations maximum à mi-match.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Fiche d’observation simplifiée pour les premiers passages.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9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Tournoi préparatoire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Mobiliser l’ensemble des acquis dans le format de l’évaluation ; s’auto-évaluer.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Échauffement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Routine autonome.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Tournoi en poules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Matchs en 20 points avec super-points, projet annoncé, concertation à 10 points.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Auto-évaluation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L’élève se situe dans la grille et fixe sa priorité.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Plus de 40 % de super-points.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Aide à l’auto-évaluation, fixe les priorités avec le joueur.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Poules homogènes.</w:t>
            </w:r>
          </w:p>
        </w:tc>
      </w:tr>
    </w:tbl>
    <w:p>
      <w:pPr>
        <w:keepNext/>
        <w:shd w:fill="1C2B6E" w:color="auto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Leçon 10  </w:t>
      </w: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Évaluation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b/>
          <w:bCs/>
          <w:color w:val="1C2B6E"/>
          <w:sz w:val="20"/>
          <w:szCs w:val="20"/>
        </w:rPr>
        <w:t xml:space="preserve">Objectif · </w:t>
      </w:r>
      <w:r>
        <w:rPr>
          <w:rFonts w:ascii="Arial" w:cs="Arial" w:eastAsia="Arial" w:hAnsi="Arial"/>
          <w:sz w:val="20"/>
          <w:szCs w:val="20"/>
        </w:rPr>
        <w:t xml:space="preserve">Valider le projet tactique en match ; tenir les rôles.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6800"/>
      </w:tblGrid>
      <w:tr>
        <w:trPr>
          <w:cantSplit/>
          <w:tblHeader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Durée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2C3F9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font les élèves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Rappel des règles, annonce des projets.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Situation de référence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 en 20 points, super-points, concertation à 10 points, arbitrage complet.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Saisie</w:t>
            </w:r>
          </w:p>
        </w:tc>
        <w:tc>
          <w:tcPr>
            <w:tcW w:type="dxa" w:w="9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  <w:tc>
          <w:tcPr>
            <w:tcW w:type="dxa" w:w="68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Résultats et retour tactique.</w:t>
            </w:r>
          </w:p>
        </w:tc>
      </w:tr>
    </w:tbl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600"/>
      </w:tblGrid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Critère de réussite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Indicateurs de la grille d’évaluation.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Coach et arbitre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Conseils à mi-match.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C2B6E"/>
                <w:sz w:val="18"/>
                <w:szCs w:val="18"/>
              </w:rPr>
              <w:t xml:space="preserve">Différenciation</w:t>
            </w:r>
          </w:p>
        </w:tc>
        <w:tc>
          <w:tcPr>
            <w:tcW w:type="dxa" w:w="76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5. L’évaluation</w:t>
      </w:r>
    </w:p>
    <w:p>
      <w:pPr>
        <w:spacing w:after="100" w:before="0" w:line="276"/>
      </w:pPr>
      <w:r>
        <w:rPr>
          <w:rFonts w:ascii="Arial" w:cs="Arial" w:eastAsia="Arial" w:hAnsi="Arial"/>
          <w:sz w:val="20"/>
          <w:szCs w:val="20"/>
        </w:rPr>
        <w:t xml:space="preserve">L’évaluation finale s’appuie sur la situation de référence (leçon 10). La grille de l’établissement décline chaque critère sur quatre degrés : insuffisant, fragile, satisfaisant, très satisfaisant. Le degré « satisfaisant » correspond aux acquisitions attendues à la fin de la séquence.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300"/>
        <w:gridCol w:w="3300"/>
      </w:tblGrid>
      <w:tr>
        <w:trPr>
          <w:cantSplit/>
          <w:tblHeader/>
        </w:trPr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 que l’on relève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Outil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 qui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 et super-points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Feuille de match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Arbitre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Zones efficaces, fautes, balles favorables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Fiche d’observation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Tenue des rôles, qualité des conseils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Observation directe</w:t>
            </w:r>
          </w:p>
        </w:tc>
        <w:tc>
          <w:tcPr>
            <w:tcW w:type="dxa" w:w="33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Enseignant</w:t>
            </w:r>
          </w:p>
        </w:tc>
      </w:tr>
    </w:tbl>
    <w:p>
      <w:pPr>
        <w:spacing w:after="100" w:before="120" w:line="276"/>
      </w:pPr>
      <w:r>
        <w:rPr>
          <w:rFonts w:ascii="Arial" w:cs="Arial" w:eastAsia="Arial" w:hAnsi="Arial"/>
          <w:b/>
          <w:bCs/>
          <w:color w:val="E3382C"/>
          <w:sz w:val="20"/>
          <w:szCs w:val="20"/>
        </w:rPr>
        <w:t xml:space="preserve">À finaliser avec l’équipe : </w:t>
      </w:r>
      <w:r>
        <w:rPr>
          <w:rFonts w:ascii="Arial" w:cs="Arial" w:eastAsia="Arial" w:hAnsi="Arial"/>
          <w:sz w:val="20"/>
          <w:szCs w:val="20"/>
        </w:rPr>
        <w:t xml:space="preserve">la grille de Première (la version actuelle reprend par erreur des critères d’acrosport).</w:t>
      </w:r>
    </w:p>
    <w:p>
      <w:pPr>
        <w:keepNext/>
        <w:pBdr>
          <w:bottom w:val="single" w:color="E3382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2B6E"/>
          <w:sz w:val="28"/>
          <w:szCs w:val="28"/>
        </w:rPr>
        <w:t xml:space="preserve">6. Les rôles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4100"/>
        <w:gridCol w:w="4100"/>
      </w:tblGrid>
      <w:tr>
        <w:trPr>
          <w:cantSplit/>
          <w:tblHeader/>
        </w:trPr>
        <w:tc>
          <w:tcPr>
            <w:tcW w:type="dxa" w:w="17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Avant et pendant le match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1C2B6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À mi-match et après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Arbitre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Vérifie le matériel, annonce le format, note le projet de chaque joueur, annonce le score après chaque point, valide les super-points.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Remplit la feuille de match, note les incidents, justifie ses décisions calmement.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shd w:fill="EE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Coach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Choisit avec le joueur son projet et un ou deux indicateurs. Observe sans parler pendant l’échange.</w:t>
            </w:r>
          </w:p>
        </w:tc>
        <w:tc>
          <w:tcPr>
            <w:tcW w:type="dxa" w:w="4100"/>
            <w:tcBorders>
              <w:top w:val="single" w:color="C9CEE0" w:sz="4"/>
              <w:left w:val="single" w:color="C9CEE0" w:sz="4"/>
              <w:bottom w:val="single" w:color="C9CEE0" w:sz="4"/>
              <w:right w:val="single" w:color="C9CE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À 10 points : un point fort, une faiblesse, un conseil concret. Après : ce qui a marché, ce qui reste, la priorité du prochain match.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475"/>
        <w:sz w:val="15"/>
        <w:szCs w:val="15"/>
      </w:rPr>
      <w:t xml:space="preserve">Séquence tennis de table · Lycée Pierre Loti · page </w:t>
    </w:r>
    <w:r>
      <w:rPr>
        <w:rFonts w:ascii="Arial" w:cs="Arial" w:eastAsia="Arial" w:hAnsi="Arial"/>
        <w:color w:val="5B64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0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</w:tblPr>
    <w:tblGrid>
      <w:gridCol w:w="3300"/>
      <w:gridCol w:w="3300"/>
      <w:gridCol w:w="3300"/>
    </w:tblGrid>
    <w:tr>
      <w:tc>
        <w:tcPr>
          <w:tcW w:type="dxa" w:w="33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142875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00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color w:val="5B6475"/>
              <w:sz w:val="16"/>
              <w:szCs w:val="16"/>
            </w:rPr>
            <w:t xml:space="preserve">EPS · Lycée Pierre Loti</w:t>
          </w:r>
        </w:p>
      </w:tc>
      <w:tc>
        <w:tcPr>
          <w:tcW w:type="dxa" w:w="330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distT="0" distB="0" distL="0" distR="0">
                <wp:extent cx="552450" cy="5715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E33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cee0a9ebc86eff90efac99fc14356eb48cd289.png"/><Relationship Id="rId1" Type="http://schemas.openxmlformats.org/officeDocument/2006/relationships/image" Target="media/fd9c89c80f7334ba325a4fbaa7d319911b453b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2026-10-24T10:12:41.890Z</dcterms:created>
  <dcterms:modified xsi:type="dcterms:W3CDTF">2026-10-24T10:12:41.891Z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