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6100A2" w14:textId="4986D5F5" w:rsidR="00E95F6E" w:rsidRPr="00E95F6E" w:rsidRDefault="00E95F6E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7E973008" wp14:editId="5F210A9C">
            <wp:extent cx="1535906" cy="782817"/>
            <wp:effectExtent l="0" t="0" r="1270" b="5080"/>
            <wp:docPr id="1382650956" name="Image 1" descr="Une image contenant texte, graphisme, Graphiqu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50956" name="Image 1" descr="Une image contenant texte, graphisme, Graphique, Police&#10;&#10;Description générée automatiquement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8817" cy="79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noProof/>
          <w:lang w:val="fr-FR"/>
        </w:rPr>
        <w:drawing>
          <wp:inline distT="0" distB="0" distL="0" distR="0" wp14:anchorId="7735578C" wp14:editId="1D0B8CB0">
            <wp:extent cx="1921669" cy="809356"/>
            <wp:effectExtent l="0" t="0" r="0" b="3810"/>
            <wp:docPr id="795873093" name="Image 2" descr="Une image contenant texte, Police, capture d’écran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73093" name="Image 2" descr="Une image contenant texte, Police, capture d’écran, logo&#10;&#10;Description générée automatiquement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183" cy="84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3BA6" w14:textId="77777777" w:rsidR="00E95F6E" w:rsidRDefault="00E95F6E">
      <w:pPr>
        <w:rPr>
          <w:rFonts w:ascii="Times New Roman" w:hAnsi="Times New Roman" w:cs="Times New Roman"/>
          <w:b/>
          <w:bCs/>
          <w:sz w:val="40"/>
          <w:szCs w:val="40"/>
          <w:lang w:val="fr-FR"/>
        </w:rPr>
      </w:pPr>
    </w:p>
    <w:p w14:paraId="6C2A443E" w14:textId="54CB0540" w:rsidR="00E95F6E" w:rsidRDefault="00E95F6E">
      <w:pPr>
        <w:rPr>
          <w:rFonts w:ascii="Times New Roman" w:hAnsi="Times New Roman" w:cs="Times New Roman"/>
          <w:b/>
          <w:bCs/>
          <w:sz w:val="40"/>
          <w:szCs w:val="40"/>
          <w:lang w:val="fr-FR"/>
        </w:rPr>
      </w:pPr>
      <w:r w:rsidRPr="00E95F6E">
        <w:rPr>
          <w:rFonts w:ascii="Times New Roman" w:hAnsi="Times New Roman" w:cs="Times New Roman"/>
          <w:b/>
          <w:bCs/>
          <w:sz w:val="40"/>
          <w:szCs w:val="40"/>
          <w:lang w:val="fr-FR"/>
        </w:rPr>
        <w:t>Situation de référence – Tennis de table cycle 4/lycée</w:t>
      </w:r>
    </w:p>
    <w:p w14:paraId="5651D956" w14:textId="77777777" w:rsidR="00E95F6E" w:rsidRPr="00E95F6E" w:rsidRDefault="00E95F6E">
      <w:pPr>
        <w:rPr>
          <w:rFonts w:ascii="Times New Roman" w:hAnsi="Times New Roman" w:cs="Times New Roman"/>
          <w:b/>
          <w:bCs/>
          <w:sz w:val="40"/>
          <w:szCs w:val="40"/>
          <w:lang w:val="fr-F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8528"/>
      </w:tblGrid>
      <w:tr w:rsidR="00E95F6E" w:rsidRPr="00E95F6E" w14:paraId="65576B58" w14:textId="77777777" w:rsidTr="00E95F6E">
        <w:trPr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E3CF7A0" w14:textId="77777777" w:rsidR="00E95F6E" w:rsidRPr="00E95F6E" w:rsidRDefault="00E95F6E" w:rsidP="00E95F6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E95F6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Rubrique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3F47C75" w14:textId="77777777" w:rsidR="00E95F6E" w:rsidRPr="00E95F6E" w:rsidRDefault="00E95F6E" w:rsidP="00E95F6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E95F6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Contenu détaillé (fidèle et complet)</w:t>
            </w:r>
          </w:p>
        </w:tc>
      </w:tr>
      <w:tr w:rsidR="00E95F6E" w:rsidRPr="00E95F6E" w14:paraId="2DB29B36" w14:textId="77777777" w:rsidTr="00E95F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DFCD0" w14:textId="77777777" w:rsidR="00E95F6E" w:rsidRPr="00E95F6E" w:rsidRDefault="00E95F6E" w:rsidP="00E95F6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95F6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Finalité de la situation de référence</w:t>
            </w:r>
          </w:p>
        </w:tc>
        <w:tc>
          <w:tcPr>
            <w:tcW w:w="0" w:type="auto"/>
            <w:vAlign w:val="center"/>
            <w:hideMark/>
          </w:tcPr>
          <w:p w14:paraId="13142FDB" w14:textId="77777777" w:rsidR="00E95F6E" w:rsidRDefault="00E95F6E" w:rsidP="00E95F6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95F6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Mobiliser l’ensemble des acquisitions techniques, tactiques et méthodologiques de la séquence.</w:t>
            </w:r>
          </w:p>
          <w:p w14:paraId="44989C57" w14:textId="4CAFE5EA" w:rsidR="00E95F6E" w:rsidRPr="00E95F6E" w:rsidRDefault="00E95F6E" w:rsidP="00E95F6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95F6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• Permettre une observation objective du projet tactique, de la gestion du rapport de force et des rôles sociaux (arbitre/coach).</w:t>
            </w:r>
          </w:p>
        </w:tc>
      </w:tr>
      <w:tr w:rsidR="00E95F6E" w:rsidRPr="00E95F6E" w14:paraId="537E48A9" w14:textId="77777777" w:rsidTr="00E95F6E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37F925C8" w14:textId="77777777" w:rsidR="00E95F6E" w:rsidRPr="00E95F6E" w:rsidRDefault="00E95F6E" w:rsidP="00E95F6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95F6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Description générale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15A9BC49" w14:textId="77777777" w:rsidR="00E95F6E" w:rsidRDefault="00E95F6E" w:rsidP="00E95F6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95F6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• Match 20 points (1 manche unique). • Service intentionnel obligatoire (réglementaire + zone visée). </w:t>
            </w:r>
          </w:p>
          <w:p w14:paraId="6C2B4837" w14:textId="158B2226" w:rsidR="00E95F6E" w:rsidRPr="00E95F6E" w:rsidRDefault="00E95F6E" w:rsidP="00E95F6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95F6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Super-points activés : spatial ou temporel selon projet annoncé. • Rôles : joueur, coach, arbitre.</w:t>
            </w:r>
          </w:p>
        </w:tc>
      </w:tr>
      <w:tr w:rsidR="00E95F6E" w:rsidRPr="00E95F6E" w14:paraId="7F09EC84" w14:textId="77777777" w:rsidTr="00E95F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65DC7" w14:textId="77777777" w:rsidR="00E95F6E" w:rsidRPr="00E95F6E" w:rsidRDefault="00E95F6E" w:rsidP="00E95F6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95F6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Organisation matérielle et humaine</w:t>
            </w:r>
          </w:p>
        </w:tc>
        <w:tc>
          <w:tcPr>
            <w:tcW w:w="0" w:type="auto"/>
            <w:vAlign w:val="center"/>
            <w:hideMark/>
          </w:tcPr>
          <w:p w14:paraId="0E0B58C8" w14:textId="77777777" w:rsidR="00E95F6E" w:rsidRDefault="00E95F6E" w:rsidP="00E95F6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95F6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• 1 table pour 3 ou 4 élèves. </w:t>
            </w:r>
          </w:p>
          <w:p w14:paraId="5FBDC9B8" w14:textId="77777777" w:rsidR="00E95F6E" w:rsidRDefault="00E95F6E" w:rsidP="00E95F6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95F6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• Matériel : feuilles de match + fiches observation. </w:t>
            </w:r>
          </w:p>
          <w:p w14:paraId="253861BA" w14:textId="6459AFE5" w:rsidR="00E95F6E" w:rsidRPr="00E95F6E" w:rsidRDefault="00E95F6E" w:rsidP="00E95F6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95F6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Classe répartie en poules homogènes. • Rotation rôles selon plan affiché.</w:t>
            </w:r>
          </w:p>
        </w:tc>
      </w:tr>
      <w:tr w:rsidR="00E95F6E" w:rsidRPr="00E95F6E" w14:paraId="6B12B8E2" w14:textId="77777777" w:rsidTr="00E95F6E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3AC37CE3" w14:textId="77777777" w:rsidR="00E95F6E" w:rsidRPr="00E95F6E" w:rsidRDefault="00E95F6E" w:rsidP="00E95F6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95F6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Rôle des joueurs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39FB3019" w14:textId="77777777" w:rsidR="00E95F6E" w:rsidRDefault="00E95F6E" w:rsidP="00E95F6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95F6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• Annoncer projet tactique (spatial ou temporel). </w:t>
            </w:r>
          </w:p>
          <w:p w14:paraId="30B4E8CB" w14:textId="77777777" w:rsidR="00E95F6E" w:rsidRDefault="00E95F6E" w:rsidP="00E95F6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95F6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• Tenter de faire basculer le rapport de force via service + rupture. </w:t>
            </w:r>
          </w:p>
          <w:p w14:paraId="789AF0BF" w14:textId="74711163" w:rsidR="00E95F6E" w:rsidRPr="00E95F6E" w:rsidRDefault="00E95F6E" w:rsidP="00E95F6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95F6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Respecter le règlement, l’adversaire et l’arbitre.</w:t>
            </w:r>
          </w:p>
        </w:tc>
      </w:tr>
      <w:tr w:rsidR="00E95F6E" w:rsidRPr="00E95F6E" w14:paraId="65DE33FB" w14:textId="77777777" w:rsidTr="00E95F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BACB6" w14:textId="77777777" w:rsidR="00E95F6E" w:rsidRPr="00E95F6E" w:rsidRDefault="00E95F6E" w:rsidP="00E95F6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95F6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Rôle de l’arbitre</w:t>
            </w:r>
          </w:p>
        </w:tc>
        <w:tc>
          <w:tcPr>
            <w:tcW w:w="0" w:type="auto"/>
            <w:vAlign w:val="center"/>
            <w:hideMark/>
          </w:tcPr>
          <w:p w14:paraId="4A910EFE" w14:textId="77777777" w:rsidR="00E95F6E" w:rsidRDefault="00E95F6E" w:rsidP="00E95F6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95F6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• Gérer score et annonces. </w:t>
            </w:r>
          </w:p>
          <w:p w14:paraId="2166601F" w14:textId="77777777" w:rsidR="00E95F6E" w:rsidRDefault="00E95F6E" w:rsidP="00E95F6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95F6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• Valider les super-points. </w:t>
            </w:r>
          </w:p>
          <w:p w14:paraId="754853FB" w14:textId="77777777" w:rsidR="00E95F6E" w:rsidRDefault="00E95F6E" w:rsidP="00E95F6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95F6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• Remplir la feuille de match. </w:t>
            </w:r>
          </w:p>
          <w:p w14:paraId="1A2DB0A4" w14:textId="6F82501D" w:rsidR="00E95F6E" w:rsidRPr="00E95F6E" w:rsidRDefault="00E95F6E" w:rsidP="00E95F6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95F6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Justifier les décisions en cas de litige.</w:t>
            </w:r>
          </w:p>
        </w:tc>
      </w:tr>
      <w:tr w:rsidR="00E95F6E" w:rsidRPr="00E95F6E" w14:paraId="6FD8668F" w14:textId="77777777" w:rsidTr="00E95F6E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187D0B10" w14:textId="77777777" w:rsidR="00E95F6E" w:rsidRPr="00E95F6E" w:rsidRDefault="00E95F6E" w:rsidP="00E95F6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95F6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Rôle du coach / observateur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64D4BEA1" w14:textId="77777777" w:rsidR="00E95F6E" w:rsidRDefault="00E95F6E" w:rsidP="00E95F6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95F6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• Remplir la fiche d’observation (zones efficaces, fautes, super-points). </w:t>
            </w:r>
          </w:p>
          <w:p w14:paraId="72F61C8C" w14:textId="77777777" w:rsidR="00E95F6E" w:rsidRDefault="00E95F6E" w:rsidP="00E95F6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95F6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• Donner un feedback court à mi-match (à 10 points). </w:t>
            </w:r>
          </w:p>
          <w:p w14:paraId="101E275A" w14:textId="50A20712" w:rsidR="00E95F6E" w:rsidRPr="00E95F6E" w:rsidRDefault="00E95F6E" w:rsidP="00E95F6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95F6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Guider la cohérence du projet tactique.</w:t>
            </w:r>
          </w:p>
        </w:tc>
      </w:tr>
      <w:tr w:rsidR="00E95F6E" w:rsidRPr="00E95F6E" w14:paraId="37350248" w14:textId="77777777" w:rsidTr="00E95F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364FF" w14:textId="77777777" w:rsidR="00E95F6E" w:rsidRPr="00E95F6E" w:rsidRDefault="00E95F6E" w:rsidP="00E95F6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95F6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Déroulement temporel</w:t>
            </w:r>
          </w:p>
        </w:tc>
        <w:tc>
          <w:tcPr>
            <w:tcW w:w="0" w:type="auto"/>
            <w:vAlign w:val="center"/>
            <w:hideMark/>
          </w:tcPr>
          <w:p w14:paraId="3DA67DCD" w14:textId="77777777" w:rsidR="00E95F6E" w:rsidRPr="00E95F6E" w:rsidRDefault="00E95F6E" w:rsidP="00E95F6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95F6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– 5 min :</w:t>
            </w:r>
            <w:r w:rsidRPr="00E95F6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installation, rappel règles, annonces des projets tactiques. </w:t>
            </w:r>
            <w:r w:rsidRPr="00E95F6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– 15–20 min :</w:t>
            </w:r>
            <w:r w:rsidRPr="00E95F6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déroulement du match (20 points) avec super-points. </w:t>
            </w:r>
            <w:r w:rsidRPr="00E95F6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– Temps de concertation :</w:t>
            </w:r>
            <w:r w:rsidRPr="00E95F6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1 min à 10 points. </w:t>
            </w:r>
            <w:r w:rsidRPr="00E95F6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– 5 min :</w:t>
            </w:r>
            <w:r w:rsidRPr="00E95F6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saisie résultats + retour tactique.</w:t>
            </w:r>
          </w:p>
        </w:tc>
      </w:tr>
      <w:tr w:rsidR="00E95F6E" w:rsidRPr="00E95F6E" w14:paraId="6435C705" w14:textId="77777777" w:rsidTr="00E95F6E">
        <w:trPr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07A551B6" w14:textId="77777777" w:rsidR="00E95F6E" w:rsidRPr="00E95F6E" w:rsidRDefault="00E95F6E" w:rsidP="00E95F6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95F6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Critères d’observation / évaluation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6C3C6684" w14:textId="77777777" w:rsidR="00E95F6E" w:rsidRPr="00E95F6E" w:rsidRDefault="00E95F6E" w:rsidP="00E95F6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95F6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Dimension tactique :</w:t>
            </w:r>
            <w:r w:rsidRPr="00E95F6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• cohérence du projet • exploitation des balles favorables • ratio super-points / points marqués.  </w:t>
            </w:r>
            <w:r w:rsidRPr="00E95F6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Dimension technique :</w:t>
            </w:r>
            <w:r w:rsidRPr="00E95F6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• qualité du service • continuité de l’échange • pertinence des choix (attaque/maintien).  </w:t>
            </w:r>
            <w:r w:rsidRPr="00E95F6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Dimension méthodologique et sociale :</w:t>
            </w:r>
            <w:r w:rsidRPr="00E95F6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• tenue du rôle (joueur/arbitre/coach) • respect des règles • objectivité de l’analyse.</w:t>
            </w:r>
          </w:p>
        </w:tc>
      </w:tr>
      <w:tr w:rsidR="00E95F6E" w:rsidRPr="00E95F6E" w14:paraId="1190CB51" w14:textId="77777777" w:rsidTr="00E95F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0E866" w14:textId="77777777" w:rsidR="00E95F6E" w:rsidRPr="00E95F6E" w:rsidRDefault="00E95F6E" w:rsidP="00E95F6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95F6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Exploitation pédagogique</w:t>
            </w:r>
          </w:p>
        </w:tc>
        <w:tc>
          <w:tcPr>
            <w:tcW w:w="0" w:type="auto"/>
            <w:vAlign w:val="center"/>
            <w:hideMark/>
          </w:tcPr>
          <w:p w14:paraId="57A90F90" w14:textId="77777777" w:rsidR="00E95F6E" w:rsidRDefault="00E95F6E" w:rsidP="00E95F6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95F6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• Utilisable en début de séquence (sans super-points) comme diagnostic. </w:t>
            </w:r>
          </w:p>
          <w:p w14:paraId="6AE5E23D" w14:textId="77777777" w:rsidR="00E95F6E" w:rsidRDefault="00E95F6E" w:rsidP="00E95F6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95F6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• Utilisable en cours de séquence pour ajuster projets tactiques. </w:t>
            </w:r>
          </w:p>
          <w:p w14:paraId="4F808C3C" w14:textId="0BC6F65C" w:rsidR="00E95F6E" w:rsidRPr="00E95F6E" w:rsidRDefault="00E95F6E" w:rsidP="00E95F6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95F6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Support final pour l’évaluation certificative au lycée.</w:t>
            </w:r>
          </w:p>
        </w:tc>
      </w:tr>
    </w:tbl>
    <w:p w14:paraId="43F21722" w14:textId="77777777" w:rsidR="00E95F6E" w:rsidRPr="00E95F6E" w:rsidRDefault="00E95F6E"/>
    <w:sectPr w:rsidR="00E95F6E" w:rsidRPr="00E95F6E" w:rsidSect="00E95F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F6E"/>
    <w:rsid w:val="00431B2E"/>
    <w:rsid w:val="005D0033"/>
    <w:rsid w:val="00945800"/>
    <w:rsid w:val="00A91D25"/>
    <w:rsid w:val="00E9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C78980"/>
  <w15:chartTrackingRefBased/>
  <w15:docId w15:val="{379A0EBD-51CD-3940-8291-943CAE8B0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95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95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95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5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5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5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5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5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5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5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95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95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95F6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95F6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95F6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95F6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95F6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95F6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95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5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5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95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95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95F6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95F6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95F6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5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5F6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95F6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95F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E95F6E"/>
  </w:style>
  <w:style w:type="character" w:customStyle="1" w:styleId="apple-converted-space">
    <w:name w:val="apple-converted-space"/>
    <w:basedOn w:val="Policepardfaut"/>
    <w:rsid w:val="00E95F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92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341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DEANAZ Cédric</dc:creator>
  <cp:keywords/>
  <dc:description/>
  <cp:lastModifiedBy>DEANAZ Cédric</cp:lastModifiedBy>
  <cp:revision>1</cp:revision>
  <dcterms:created xsi:type="dcterms:W3CDTF">2025-11-16T13:36:00Z</dcterms:created>
  <dcterms:modified xsi:type="dcterms:W3CDTF">2025-11-16T13:41:00Z</dcterms:modified>
</cp:coreProperties>
</file>