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Tableaux Ateliers – VTT Lycée général</w:t>
      </w:r>
    </w:p>
    <w:p>
      <w:pPr>
        <w:pStyle w:val="Heading2"/>
      </w:pPr>
      <w:r>
        <w:t>🟢 Axe 1 – Maniabilité : Gestion de l’équilibre et des trajectoires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Atelier</w:t>
            </w:r>
          </w:p>
        </w:tc>
        <w:tc>
          <w:tcPr>
            <w:tcW w:type="dxa" w:w="1440"/>
          </w:tcPr>
          <w:p>
            <w:r>
              <w:t>Compétences visées</w:t>
            </w:r>
          </w:p>
        </w:tc>
        <w:tc>
          <w:tcPr>
            <w:tcW w:type="dxa" w:w="1440"/>
          </w:tcPr>
          <w:p>
            <w:r>
              <w:t>Objectif pédagogique</w:t>
            </w:r>
          </w:p>
        </w:tc>
        <w:tc>
          <w:tcPr>
            <w:tcW w:type="dxa" w:w="1440"/>
          </w:tcPr>
          <w:p>
            <w:r>
              <w:t>Organisation matérielle et humaine</w:t>
            </w:r>
          </w:p>
        </w:tc>
        <w:tc>
          <w:tcPr>
            <w:tcW w:type="dxa" w:w="1440"/>
          </w:tcPr>
          <w:p>
            <w:r>
              <w:t>Consignes principales</w:t>
            </w:r>
          </w:p>
        </w:tc>
        <w:tc>
          <w:tcPr>
            <w:tcW w:type="dxa" w:w="1440"/>
          </w:tcPr>
          <w:p>
            <w:r>
              <w:t>Critères de réussite / observables</w:t>
            </w:r>
          </w:p>
        </w:tc>
      </w:tr>
      <w:tr>
        <w:tc>
          <w:tcPr>
            <w:tcW w:type="dxa" w:w="1440"/>
          </w:tcPr>
          <w:p>
            <w:r>
              <w:t>Circuit technique lent</w:t>
            </w:r>
          </w:p>
        </w:tc>
        <w:tc>
          <w:tcPr>
            <w:tcW w:type="dxa" w:w="1440"/>
          </w:tcPr>
          <w:p>
            <w:r>
              <w:t>CA2 : Adapter son déplacement à des environnements variés.</w:t>
              <w:br/>
              <w:t>CMS1 : Concentration et rigueur.</w:t>
            </w:r>
          </w:p>
        </w:tc>
        <w:tc>
          <w:tcPr>
            <w:tcW w:type="dxa" w:w="1440"/>
          </w:tcPr>
          <w:p>
            <w:r>
              <w:t>Maîtriser son équilibre et ses trajectoires à faible vitesse dans des virages serrés.</w:t>
            </w:r>
          </w:p>
        </w:tc>
        <w:tc>
          <w:tcPr>
            <w:tcW w:type="dxa" w:w="1440"/>
          </w:tcPr>
          <w:p>
            <w:r>
              <w:t>Zone de 20×20 m, plots, virages à 90°, obstacles bas. 1 vélo pour 2 (pilote / observateur).</w:t>
            </w:r>
          </w:p>
        </w:tc>
        <w:tc>
          <w:tcPr>
            <w:tcW w:type="dxa" w:w="1440"/>
          </w:tcPr>
          <w:p>
            <w:r>
              <w:t>Réaliser le circuit sans poser le pied, posture adaptée, regard loin.</w:t>
            </w:r>
          </w:p>
        </w:tc>
        <w:tc>
          <w:tcPr>
            <w:tcW w:type="dxa" w:w="1440"/>
          </w:tcPr>
          <w:p>
            <w:r>
              <w:t>Trajectoire fluide, équilibre stable, anticipation visible.</w:t>
            </w:r>
          </w:p>
        </w:tc>
      </w:tr>
      <w:tr>
        <w:tc>
          <w:tcPr>
            <w:tcW w:type="dxa" w:w="1440"/>
          </w:tcPr>
          <w:p>
            <w:r>
              <w:t>Virage / dévers progressif</w:t>
            </w:r>
          </w:p>
        </w:tc>
        <w:tc>
          <w:tcPr>
            <w:tcW w:type="dxa" w:w="1440"/>
          </w:tcPr>
          <w:p>
            <w:r>
              <w:t>CA2 : Adapter sa trajectoire à la pente.</w:t>
              <w:br/>
              <w:t>CMS3 : Observer et réguler.</w:t>
            </w:r>
          </w:p>
        </w:tc>
        <w:tc>
          <w:tcPr>
            <w:tcW w:type="dxa" w:w="1440"/>
          </w:tcPr>
          <w:p>
            <w:r>
              <w:t>Gérer l’inclinaison et l’équilibre sur des virages en dévers.</w:t>
            </w:r>
          </w:p>
        </w:tc>
        <w:tc>
          <w:tcPr>
            <w:tcW w:type="dxa" w:w="1440"/>
          </w:tcPr>
          <w:p>
            <w:r>
              <w:t>Couloir en pente légère, 1 vélo / 2.</w:t>
            </w:r>
          </w:p>
        </w:tc>
        <w:tc>
          <w:tcPr>
            <w:tcW w:type="dxa" w:w="1440"/>
          </w:tcPr>
          <w:p>
            <w:r>
              <w:t>Anticiper la courbe, abaisser le centre de gravité, pédales horizontales.</w:t>
            </w:r>
          </w:p>
        </w:tc>
        <w:tc>
          <w:tcPr>
            <w:tcW w:type="dxa" w:w="1440"/>
          </w:tcPr>
          <w:p>
            <w:r>
              <w:t>Équilibre conservé, trajectoire stable, vitesse maîtrisée.</w:t>
            </w:r>
          </w:p>
        </w:tc>
      </w:tr>
    </w:tbl>
    <w:p/>
    <w:p>
      <w:pPr>
        <w:pStyle w:val="Heading2"/>
      </w:pPr>
      <w:r>
        <w:t>🔵 Axe 2 – Pilotage : Gestion de la vitesse et anticipation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Atelier</w:t>
            </w:r>
          </w:p>
        </w:tc>
        <w:tc>
          <w:tcPr>
            <w:tcW w:type="dxa" w:w="1440"/>
          </w:tcPr>
          <w:p>
            <w:r>
              <w:t>Compétences visées</w:t>
            </w:r>
          </w:p>
        </w:tc>
        <w:tc>
          <w:tcPr>
            <w:tcW w:type="dxa" w:w="1440"/>
          </w:tcPr>
          <w:p>
            <w:r>
              <w:t>Objectif pédagogique</w:t>
            </w:r>
          </w:p>
        </w:tc>
        <w:tc>
          <w:tcPr>
            <w:tcW w:type="dxa" w:w="1440"/>
          </w:tcPr>
          <w:p>
            <w:r>
              <w:t>Organisation matérielle et humaine</w:t>
            </w:r>
          </w:p>
        </w:tc>
        <w:tc>
          <w:tcPr>
            <w:tcW w:type="dxa" w:w="1440"/>
          </w:tcPr>
          <w:p>
            <w:r>
              <w:t>Consignes principales</w:t>
            </w:r>
          </w:p>
        </w:tc>
        <w:tc>
          <w:tcPr>
            <w:tcW w:type="dxa" w:w="1440"/>
          </w:tcPr>
          <w:p>
            <w:r>
              <w:t>Critères de réussite / observables</w:t>
            </w:r>
          </w:p>
        </w:tc>
      </w:tr>
      <w:tr>
        <w:tc>
          <w:tcPr>
            <w:tcW w:type="dxa" w:w="1440"/>
          </w:tcPr>
          <w:p>
            <w:r>
              <w:t>Freinage contrôlé et progressif</w:t>
            </w:r>
          </w:p>
        </w:tc>
        <w:tc>
          <w:tcPr>
            <w:tcW w:type="dxa" w:w="1440"/>
          </w:tcPr>
          <w:p>
            <w:r>
              <w:t>CA2 : Contrôler la décélération et anticiper l’arrêt.</w:t>
              <w:br/>
              <w:t>CMS1 : Sécurité active.</w:t>
            </w:r>
          </w:p>
        </w:tc>
        <w:tc>
          <w:tcPr>
            <w:tcW w:type="dxa" w:w="1440"/>
          </w:tcPr>
          <w:p>
            <w:r>
              <w:t>Freiner sans blocage et adapter la décélération à la pente.</w:t>
            </w:r>
          </w:p>
        </w:tc>
        <w:tc>
          <w:tcPr>
            <w:tcW w:type="dxa" w:w="1440"/>
          </w:tcPr>
          <w:p>
            <w:r>
              <w:t>Ligne de 30 m, zones d’arrêt matérialisées.</w:t>
            </w:r>
          </w:p>
        </w:tc>
        <w:tc>
          <w:tcPr>
            <w:tcW w:type="dxa" w:w="1440"/>
          </w:tcPr>
          <w:p>
            <w:r>
              <w:t>Freiner avant la ligne en utilisant les deux freins.</w:t>
            </w:r>
          </w:p>
        </w:tc>
        <w:tc>
          <w:tcPr>
            <w:tcW w:type="dxa" w:w="1440"/>
          </w:tcPr>
          <w:p>
            <w:r>
              <w:t>Arrêt précis, stabilité de la posture, roue non bloquée.</w:t>
            </w:r>
          </w:p>
        </w:tc>
      </w:tr>
      <w:tr>
        <w:tc>
          <w:tcPr>
            <w:tcW w:type="dxa" w:w="1440"/>
          </w:tcPr>
          <w:p>
            <w:r>
              <w:t>Gestion de la cadence / changement de vitesse</w:t>
            </w:r>
          </w:p>
        </w:tc>
        <w:tc>
          <w:tcPr>
            <w:tcW w:type="dxa" w:w="1440"/>
          </w:tcPr>
          <w:p>
            <w:r>
              <w:t>CA2 : Adapter la cadence de pédalage au terrain.</w:t>
              <w:br/>
              <w:t>CMS2 : Régulation.</w:t>
            </w:r>
          </w:p>
        </w:tc>
        <w:tc>
          <w:tcPr>
            <w:tcW w:type="dxa" w:w="1440"/>
          </w:tcPr>
          <w:p>
            <w:r>
              <w:t>Anticiper et modifier les rapports selon la pente et le terrain.</w:t>
            </w:r>
          </w:p>
        </w:tc>
        <w:tc>
          <w:tcPr>
            <w:tcW w:type="dxa" w:w="1440"/>
          </w:tcPr>
          <w:p>
            <w:r>
              <w:t>Boucle de 50 m avec zones signalées pour le changement.</w:t>
            </w:r>
          </w:p>
        </w:tc>
        <w:tc>
          <w:tcPr>
            <w:tcW w:type="dxa" w:w="1440"/>
          </w:tcPr>
          <w:p>
            <w:r>
              <w:t>Changer de vitesse avant la pente, garder la continuité de pédalage.</w:t>
            </w:r>
          </w:p>
        </w:tc>
        <w:tc>
          <w:tcPr>
            <w:tcW w:type="dxa" w:w="1440"/>
          </w:tcPr>
          <w:p>
            <w:r>
              <w:t>Cadence fluide, anticipation visible, propulsion constante.</w:t>
            </w:r>
          </w:p>
        </w:tc>
      </w:tr>
    </w:tbl>
    <w:p/>
    <w:p>
      <w:pPr>
        <w:pStyle w:val="Heading2"/>
      </w:pPr>
      <w:r>
        <w:t>🔴 Axe 3 – Cross-country : Gestion de l’effort et coopération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Atelier</w:t>
            </w:r>
          </w:p>
        </w:tc>
        <w:tc>
          <w:tcPr>
            <w:tcW w:type="dxa" w:w="1440"/>
          </w:tcPr>
          <w:p>
            <w:r>
              <w:t>Compétences visées</w:t>
            </w:r>
          </w:p>
        </w:tc>
        <w:tc>
          <w:tcPr>
            <w:tcW w:type="dxa" w:w="1440"/>
          </w:tcPr>
          <w:p>
            <w:r>
              <w:t>Objectif pédagogique</w:t>
            </w:r>
          </w:p>
        </w:tc>
        <w:tc>
          <w:tcPr>
            <w:tcW w:type="dxa" w:w="1440"/>
          </w:tcPr>
          <w:p>
            <w:r>
              <w:t>Organisation matérielle et humaine</w:t>
            </w:r>
          </w:p>
        </w:tc>
        <w:tc>
          <w:tcPr>
            <w:tcW w:type="dxa" w:w="1440"/>
          </w:tcPr>
          <w:p>
            <w:r>
              <w:t>Consignes principales</w:t>
            </w:r>
          </w:p>
        </w:tc>
        <w:tc>
          <w:tcPr>
            <w:tcW w:type="dxa" w:w="1440"/>
          </w:tcPr>
          <w:p>
            <w:r>
              <w:t>Critères de réussite / observables</w:t>
            </w:r>
          </w:p>
        </w:tc>
      </w:tr>
      <w:tr>
        <w:tc>
          <w:tcPr>
            <w:tcW w:type="dxa" w:w="1440"/>
          </w:tcPr>
          <w:p>
            <w:r>
              <w:t>Relais endurance / Bike &amp; Run</w:t>
            </w:r>
          </w:p>
        </w:tc>
        <w:tc>
          <w:tcPr>
            <w:tcW w:type="dxa" w:w="1440"/>
          </w:tcPr>
          <w:p>
            <w:r>
              <w:t>CA2 : Gérer effort et récupération.</w:t>
              <w:br/>
              <w:t>CMS2 : Coopérer en binôme.</w:t>
            </w:r>
          </w:p>
        </w:tc>
        <w:tc>
          <w:tcPr>
            <w:tcW w:type="dxa" w:w="1440"/>
          </w:tcPr>
          <w:p>
            <w:r>
              <w:t>Alterner effort et récupération efficacement.</w:t>
            </w:r>
          </w:p>
        </w:tc>
        <w:tc>
          <w:tcPr>
            <w:tcW w:type="dxa" w:w="1440"/>
          </w:tcPr>
          <w:p>
            <w:r>
              <w:t>Circuit 300 m, zones d’échange matérialisées, 1 vélo pour 2.</w:t>
            </w:r>
          </w:p>
        </w:tc>
        <w:tc>
          <w:tcPr>
            <w:tcW w:type="dxa" w:w="1440"/>
          </w:tcPr>
          <w:p>
            <w:r>
              <w:t>Relais équilibrés, communication claire.</w:t>
            </w:r>
          </w:p>
        </w:tc>
        <w:tc>
          <w:tcPr>
            <w:tcW w:type="dxa" w:w="1440"/>
          </w:tcPr>
          <w:p>
            <w:r>
              <w:t>Allure régulière, relais fluides, coopération efficace.</w:t>
            </w:r>
          </w:p>
        </w:tc>
      </w:tr>
      <w:tr>
        <w:tc>
          <w:tcPr>
            <w:tcW w:type="dxa" w:w="1440"/>
          </w:tcPr>
          <w:p>
            <w:r>
              <w:t>Poursuite collective</w:t>
            </w:r>
          </w:p>
        </w:tc>
        <w:tc>
          <w:tcPr>
            <w:tcW w:type="dxa" w:w="1440"/>
          </w:tcPr>
          <w:p>
            <w:r>
              <w:t>CA2 : Adapter son effort au collectif.</w:t>
              <w:br/>
              <w:t>CMS3 : S’entraider et s’encourager.</w:t>
            </w:r>
          </w:p>
        </w:tc>
        <w:tc>
          <w:tcPr>
            <w:tcW w:type="dxa" w:w="1440"/>
          </w:tcPr>
          <w:p>
            <w:r>
              <w:t>Gérer l’effort collectif et la stratégie d’équipe.</w:t>
            </w:r>
          </w:p>
        </w:tc>
        <w:tc>
          <w:tcPr>
            <w:tcW w:type="dxa" w:w="1440"/>
          </w:tcPr>
          <w:p>
            <w:r>
              <w:t>Deux équipes de trois, 2 vélos, parcours 200 m.</w:t>
            </w:r>
          </w:p>
        </w:tc>
        <w:tc>
          <w:tcPr>
            <w:tcW w:type="dxa" w:w="1440"/>
          </w:tcPr>
          <w:p>
            <w:r>
              <w:t>Rattraper l’équipe adverse sans désorganisation.</w:t>
            </w:r>
          </w:p>
        </w:tc>
        <w:tc>
          <w:tcPr>
            <w:tcW w:type="dxa" w:w="1440"/>
          </w:tcPr>
          <w:p>
            <w:r>
              <w:t>Coordination, régularité, cohésion d’équipe.</w:t>
            </w:r>
          </w:p>
        </w:tc>
      </w:tr>
    </w:tbl>
    <w:p/>
    <w:p>
      <w:pPr>
        <w:pStyle w:val="Heading2"/>
      </w:pPr>
      <w:r>
        <w:t>🟠 Axe 4 – Entretien : Gestion du matériel et sécurité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Atelier</w:t>
            </w:r>
          </w:p>
        </w:tc>
        <w:tc>
          <w:tcPr>
            <w:tcW w:type="dxa" w:w="1440"/>
          </w:tcPr>
          <w:p>
            <w:r>
              <w:t>Compétences visées</w:t>
            </w:r>
          </w:p>
        </w:tc>
        <w:tc>
          <w:tcPr>
            <w:tcW w:type="dxa" w:w="1440"/>
          </w:tcPr>
          <w:p>
            <w:r>
              <w:t>Objectif pédagogique</w:t>
            </w:r>
          </w:p>
        </w:tc>
        <w:tc>
          <w:tcPr>
            <w:tcW w:type="dxa" w:w="1440"/>
          </w:tcPr>
          <w:p>
            <w:r>
              <w:t>Organisation matérielle et humaine</w:t>
            </w:r>
          </w:p>
        </w:tc>
        <w:tc>
          <w:tcPr>
            <w:tcW w:type="dxa" w:w="1440"/>
          </w:tcPr>
          <w:p>
            <w:r>
              <w:t>Consignes principales</w:t>
            </w:r>
          </w:p>
        </w:tc>
        <w:tc>
          <w:tcPr>
            <w:tcW w:type="dxa" w:w="1440"/>
          </w:tcPr>
          <w:p>
            <w:r>
              <w:t>Critères de réussite / observables</w:t>
            </w:r>
          </w:p>
        </w:tc>
      </w:tr>
      <w:tr>
        <w:tc>
          <w:tcPr>
            <w:tcW w:type="dxa" w:w="1440"/>
          </w:tcPr>
          <w:p>
            <w:r>
              <w:t>Diagnostic sécurité (méthode ABC)</w:t>
            </w:r>
          </w:p>
        </w:tc>
        <w:tc>
          <w:tcPr>
            <w:tcW w:type="dxa" w:w="1440"/>
          </w:tcPr>
          <w:p>
            <w:r>
              <w:t>CA2 : Assurer la sécurité avant la pratique.</w:t>
              <w:br/>
              <w:t>CMS3 : Responsabilité.</w:t>
            </w:r>
          </w:p>
        </w:tc>
        <w:tc>
          <w:tcPr>
            <w:tcW w:type="dxa" w:w="1440"/>
          </w:tcPr>
          <w:p>
            <w:r>
              <w:t>Identifier les points de contrôle du vélo avant la sortie.</w:t>
            </w:r>
          </w:p>
        </w:tc>
        <w:tc>
          <w:tcPr>
            <w:tcW w:type="dxa" w:w="1440"/>
          </w:tcPr>
          <w:p>
            <w:r>
              <w:t>Postes de vérification : pneus, freins, chaîne, selle, casque.</w:t>
            </w:r>
          </w:p>
        </w:tc>
        <w:tc>
          <w:tcPr>
            <w:tcW w:type="dxa" w:w="1440"/>
          </w:tcPr>
          <w:p>
            <w:r>
              <w:t>Vérifier chaque élément selon la méthode ABC.</w:t>
            </w:r>
          </w:p>
        </w:tc>
        <w:tc>
          <w:tcPr>
            <w:tcW w:type="dxa" w:w="1440"/>
          </w:tcPr>
          <w:p>
            <w:r>
              <w:t>Tous les points validés, autonomie et rigueur.</w:t>
            </w:r>
          </w:p>
        </w:tc>
      </w:tr>
      <w:tr>
        <w:tc>
          <w:tcPr>
            <w:tcW w:type="dxa" w:w="1440"/>
          </w:tcPr>
          <w:p>
            <w:r>
              <w:t>Réparation / entretien</w:t>
            </w:r>
          </w:p>
        </w:tc>
        <w:tc>
          <w:tcPr>
            <w:tcW w:type="dxa" w:w="1440"/>
          </w:tcPr>
          <w:p>
            <w:r>
              <w:t>CA2 : Prévenir les pannes simples.</w:t>
              <w:br/>
              <w:t>CMS3 : Entretien collectif.</w:t>
            </w:r>
          </w:p>
        </w:tc>
        <w:tc>
          <w:tcPr>
            <w:tcW w:type="dxa" w:w="1440"/>
          </w:tcPr>
          <w:p>
            <w:r>
              <w:t>Nettoyer, lubrifier, réparer une crevaison.</w:t>
            </w:r>
          </w:p>
        </w:tc>
        <w:tc>
          <w:tcPr>
            <w:tcW w:type="dxa" w:w="1440"/>
          </w:tcPr>
          <w:p>
            <w:r>
              <w:t>Atelier avec outils, pompe, pied d’entretien, chiffon.</w:t>
            </w:r>
          </w:p>
        </w:tc>
        <w:tc>
          <w:tcPr>
            <w:tcW w:type="dxa" w:w="1440"/>
          </w:tcPr>
          <w:p>
            <w:r>
              <w:t>Réaliser les gestes propres et sécurisés.</w:t>
            </w:r>
          </w:p>
        </w:tc>
        <w:tc>
          <w:tcPr>
            <w:tcW w:type="dxa" w:w="1440"/>
          </w:tcPr>
          <w:p>
            <w:r>
              <w:t>Réparation fonctionnelle, propreté, méthode respectée.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