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92D4A"/>
        </w:rPr>
        <w:t>¿Quién decide cuánto valgo? · Guía para familias</w:t>
      </w:r>
    </w:p>
    <w:p>
      <w:r>
        <w:rPr>
          <w:rFonts w:ascii="Calibri" w:hAnsi="Calibri"/>
          <w:b w:val="0"/>
          <w:sz w:val="22"/>
        </w:rPr>
        <w:t>Cedric Milles · Psicología · Orientación · Rendimiento</w:t>
      </w:r>
    </w:p>
    <w:p>
      <w:r>
        <w:rPr>
          <w:rFonts w:ascii="Calibri" w:hAnsi="Calibri"/>
          <w:b w:val="0"/>
          <w:sz w:val="22"/>
        </w:rPr>
        <w:t>Para cuidadores de niños y niñas de 6 a 11 años. Material psicoeducativo; no sustituye valoración profesional.</w:t>
      </w:r>
    </w:p>
    <w:p>
      <w:pPr>
        <w:pStyle w:val="Heading2"/>
      </w:pPr>
      <w:r>
        <w:rPr>
          <w:color w:val="092D4A"/>
        </w:rPr>
        <w:t>1. La idea que queremos recordar</w:t>
      </w:r>
    </w:p>
    <w:p>
      <w:r>
        <w:rPr>
          <w:rFonts w:ascii="Calibri" w:hAnsi="Calibri"/>
          <w:b w:val="0"/>
          <w:sz w:val="22"/>
        </w:rPr>
        <w:t>El valor y la dignidad de un niño no dependen de una nota, un error, una comparación, su aspecto o la aceptación del grupo. Una autoestima sana es realista, flexible y compatible con límites: permite fallar, pedir ayuda, reparar y volver a intentarlo.</w:t>
      </w:r>
    </w:p>
    <w:p>
      <w:pPr>
        <w:pStyle w:val="Heading2"/>
      </w:pPr>
      <w:r>
        <w:rPr>
          <w:color w:val="092D4A"/>
        </w:rPr>
        <w:t>2. Conceptos que conviene no mezclar</w:t>
      </w:r>
    </w:p>
    <w:p>
      <w:r>
        <w:rPr>
          <w:rFonts w:ascii="Calibri" w:hAnsi="Calibri"/>
          <w:b w:val="0"/>
          <w:sz w:val="22"/>
        </w:rPr>
        <w:t>• Autoestima: cómo me trato y cuánto valor me reconozco, especialmente cuando algo sale mal.</w:t>
      </w:r>
    </w:p>
    <w:p>
      <w:r>
        <w:rPr>
          <w:rFonts w:ascii="Calibri" w:hAnsi="Calibri"/>
          <w:b w:val="0"/>
          <w:sz w:val="22"/>
        </w:rPr>
        <w:t>• Autoconcepto: cómo me describo en distintas áreas (colegio, amigos, deporte, casa).</w:t>
      </w:r>
    </w:p>
    <w:p>
      <w:r>
        <w:rPr>
          <w:rFonts w:ascii="Calibri" w:hAnsi="Calibri"/>
          <w:b w:val="0"/>
          <w:sz w:val="22"/>
        </w:rPr>
        <w:t>• Autoeficacia: creer que puedo manejar esta tarea concreta con pasos y apoyo.</w:t>
      </w:r>
    </w:p>
    <w:p>
      <w:r>
        <w:rPr>
          <w:rFonts w:ascii="Calibri" w:hAnsi="Calibri"/>
          <w:b w:val="0"/>
          <w:sz w:val="22"/>
        </w:rPr>
        <w:t>• Aprobación externa: necesidad normal de pertenecer; el riesgo aparece cuando es la única brújula del valor.</w:t>
      </w:r>
    </w:p>
    <w:p>
      <w:pPr>
        <w:pStyle w:val="Heading2"/>
      </w:pPr>
      <w:r>
        <w:rPr>
          <w:color w:val="092D4A"/>
        </w:rPr>
        <w:t>3. Qué cambia entre los 6 y los 11 años</w:t>
      </w:r>
    </w:p>
    <w:p>
      <w:r>
        <w:rPr>
          <w:rFonts w:ascii="Calibri" w:hAnsi="Calibri"/>
          <w:b w:val="0"/>
          <w:sz w:val="22"/>
        </w:rPr>
        <w:t>6–8 años: lenguaje concreto, más necesidad de co-regulación, apoyos visuales (semáforo, dibujos), frases breves.</w:t>
      </w:r>
    </w:p>
    <w:p>
      <w:r>
        <w:rPr>
          <w:rFonts w:ascii="Calibri" w:hAnsi="Calibri"/>
          <w:b w:val="0"/>
          <w:sz w:val="22"/>
        </w:rPr>
        <w:t>9–11 años: más comparación con el grupo, reputación, posible ocultación del malestar. Preguntad qué tipo de ayuda quieren: escucha, ideas o intervención.</w:t>
      </w:r>
    </w:p>
    <w:p>
      <w:pPr>
        <w:pStyle w:val="Heading2"/>
      </w:pPr>
      <w:r>
        <w:rPr>
          <w:color w:val="092D4A"/>
        </w:rPr>
        <w:t>4. Cinco principios para acompañar</w:t>
      </w:r>
    </w:p>
    <w:p>
      <w:r>
        <w:rPr>
          <w:rFonts w:ascii="Calibri" w:hAnsi="Calibri"/>
          <w:b w:val="0"/>
          <w:sz w:val="22"/>
        </w:rPr>
        <w:t>1. Separar persona, conducta y resultado.</w:t>
      </w:r>
    </w:p>
    <w:p>
      <w:r>
        <w:rPr>
          <w:rFonts w:ascii="Calibri" w:hAnsi="Calibri"/>
          <w:b w:val="0"/>
          <w:sz w:val="22"/>
        </w:rPr>
        <w:t>2. Validar la emoción antes de orientar; validar no es ceder el límite.</w:t>
      </w:r>
    </w:p>
    <w:p>
      <w:r>
        <w:rPr>
          <w:rFonts w:ascii="Calibri" w:hAnsi="Calibri"/>
          <w:b w:val="0"/>
          <w:sz w:val="22"/>
        </w:rPr>
        <w:t>3. Feedback específico: qué observo, qué efecto tuvo, siguiente paso.</w:t>
      </w:r>
    </w:p>
    <w:p>
      <w:r>
        <w:rPr>
          <w:rFonts w:ascii="Calibri" w:hAnsi="Calibri"/>
          <w:b w:val="0"/>
          <w:sz w:val="22"/>
        </w:rPr>
        <w:t>4. Retos graduales con apoyo (ni todo resuelto ni abandono).</w:t>
      </w:r>
    </w:p>
    <w:p>
      <w:r>
        <w:rPr>
          <w:rFonts w:ascii="Calibri" w:hAnsi="Calibri"/>
          <w:b w:val="0"/>
          <w:sz w:val="22"/>
        </w:rPr>
        <w:t>5. Reparar cuando nosotros usamos una etiqueta o respondemos con dureza.</w:t>
      </w:r>
    </w:p>
    <w:p>
      <w:pPr>
        <w:pStyle w:val="Heading2"/>
      </w:pPr>
      <w:r>
        <w:rPr>
          <w:color w:val="092D4A"/>
        </w:rPr>
        <w:t>5. Guiones para el día a día</w:t>
      </w:r>
    </w:p>
    <w:p>
      <w:r>
        <w:rPr>
          <w:rFonts w:ascii="Calibri" w:hAnsi="Calibri"/>
          <w:b/>
          <w:sz w:val="22"/>
        </w:rPr>
        <w:t>«Soy tonto/a»</w:t>
      </w:r>
    </w:p>
    <w:p>
      <w:r>
        <w:rPr>
          <w:rFonts w:ascii="Calibri" w:hAnsi="Calibri"/>
          <w:b w:val="0"/>
          <w:sz w:val="22"/>
        </w:rPr>
        <w:t>Ahora mismo te estás definiendo por esta tarea. ¿Qué parte exacta no entiendes todavía?</w:t>
      </w:r>
    </w:p>
    <w:p>
      <w:r>
        <w:rPr>
          <w:rFonts w:ascii="Calibri" w:hAnsi="Calibri"/>
          <w:b/>
          <w:sz w:val="22"/>
        </w:rPr>
        <w:t>Nota baja</w:t>
      </w:r>
    </w:p>
    <w:p>
      <w:r>
        <w:rPr>
          <w:rFonts w:ascii="Calibri" w:hAnsi="Calibri"/>
          <w:b w:val="0"/>
          <w:sz w:val="22"/>
        </w:rPr>
        <w:t>La nota da información, no mide tu valor. Cuando baje el enfado, miramos preparación y ayuda.</w:t>
      </w:r>
    </w:p>
    <w:p>
      <w:r>
        <w:rPr>
          <w:rFonts w:ascii="Calibri" w:hAnsi="Calibri"/>
          <w:b/>
          <w:sz w:val="22"/>
        </w:rPr>
        <w:t>Comparación</w:t>
      </w:r>
    </w:p>
    <w:p>
      <w:r>
        <w:rPr>
          <w:rFonts w:ascii="Calibri" w:hAnsi="Calibri"/>
          <w:b w:val="0"/>
          <w:sz w:val="22"/>
        </w:rPr>
        <w:t>¿En qué te estás comparando y qué no está midiendo esa comparación?</w:t>
      </w:r>
    </w:p>
    <w:p>
      <w:r>
        <w:rPr>
          <w:rFonts w:ascii="Calibri" w:hAnsi="Calibri"/>
          <w:b/>
          <w:sz w:val="22"/>
        </w:rPr>
        <w:t>Frustración</w:t>
      </w:r>
    </w:p>
    <w:p>
      <w:r>
        <w:rPr>
          <w:rFonts w:ascii="Calibri" w:hAnsi="Calibri"/>
          <w:b w:val="0"/>
          <w:sz w:val="22"/>
        </w:rPr>
        <w:t>Tiene sentido que estés enfadado. No rompemos material; paramos dos minutos o hacemos el primer paso juntos.</w:t>
      </w:r>
    </w:p>
    <w:p>
      <w:r>
        <w:rPr>
          <w:rFonts w:ascii="Calibri" w:hAnsi="Calibri"/>
          <w:b/>
          <w:sz w:val="22"/>
        </w:rPr>
        <w:t>Burlas repetidas</w:t>
      </w:r>
    </w:p>
    <w:p>
      <w:r>
        <w:rPr>
          <w:rFonts w:ascii="Calibri" w:hAnsi="Calibri"/>
          <w:b w:val="0"/>
          <w:sz w:val="22"/>
        </w:rPr>
        <w:t>Gracias por contármelo. Vamos a apuntar hechos y pedir ayuda en el colegio.</w:t>
      </w:r>
    </w:p>
    <w:p>
      <w:pPr>
        <w:pStyle w:val="Heading2"/>
      </w:pPr>
      <w:r>
        <w:rPr>
          <w:color w:val="092D4A"/>
        </w:rPr>
        <w:t>6. Herramientas del kit</w:t>
      </w:r>
    </w:p>
    <w:p>
      <w:r>
        <w:rPr>
          <w:rFonts w:ascii="Calibri" w:hAnsi="Calibri"/>
          <w:b w:val="0"/>
          <w:sz w:val="22"/>
        </w:rPr>
        <w:t>Brújula del valor: lo que siento · lo que pasó · lo que puedo hacer · a quién pido apoyo.</w:t>
      </w:r>
    </w:p>
    <w:p>
      <w:r>
        <w:rPr>
          <w:rFonts w:ascii="Calibri" w:hAnsi="Calibri"/>
          <w:b w:val="0"/>
          <w:sz w:val="22"/>
        </w:rPr>
        <w:t>Semáforo: rojo (parar) · ámbar (entender) · verde (actuar).</w:t>
      </w:r>
    </w:p>
    <w:p>
      <w:r>
        <w:rPr>
          <w:rFonts w:ascii="Calibri" w:hAnsi="Calibri"/>
          <w:b w:val="0"/>
          <w:sz w:val="22"/>
        </w:rPr>
        <w:t>Escudo de fortalezas: intereses, aprendizajes, valores, personas de ayuda.</w:t>
      </w:r>
    </w:p>
    <w:p>
      <w:r>
        <w:rPr>
          <w:rFonts w:ascii="Calibri" w:hAnsi="Calibri"/>
          <w:b w:val="0"/>
          <w:sz w:val="22"/>
        </w:rPr>
        <w:t>Plan de 7 días: una sola práctica breve de 5–10 minutos.</w:t>
      </w:r>
    </w:p>
    <w:p>
      <w:pPr>
        <w:pStyle w:val="Heading2"/>
      </w:pPr>
      <w:r>
        <w:rPr>
          <w:color w:val="092D4A"/>
        </w:rPr>
        <w:t>7. Crítica, conflicto y acoso</w:t>
      </w:r>
    </w:p>
    <w:p>
      <w:r>
        <w:rPr>
          <w:rFonts w:ascii="Calibri" w:hAnsi="Calibri"/>
          <w:b w:val="0"/>
          <w:sz w:val="22"/>
        </w:rPr>
        <w:t>No todo conflicto es acoso. El acoso implica agresión no deseada, repetición (o alta probabilidad) y desequilibrio de poder. Ante sospecha: creer el malestar, registrar, proteger y coordinar con el centro. No pedir al niño que lo detenga solo.</w:t>
      </w:r>
    </w:p>
    <w:p>
      <w:pPr>
        <w:pStyle w:val="Heading2"/>
      </w:pPr>
      <w:r>
        <w:rPr>
          <w:color w:val="092D4A"/>
        </w:rPr>
        <w:t>8. Cuándo pedir ayuda profesional</w:t>
      </w:r>
    </w:p>
    <w:p>
      <w:r>
        <w:rPr>
          <w:rFonts w:ascii="Calibri" w:hAnsi="Calibri"/>
          <w:b w:val="0"/>
          <w:sz w:val="22"/>
        </w:rPr>
        <w:t>Cuando el malestar es intenso, persistente o interfiere con sueño, colegio, relaciones o actividades; o cuando hay indicios de acoso, violencia o riesgo. Pedir ayuda es una forma de cuidado, no un fracaso familiar.</w:t>
      </w:r>
    </w:p>
    <w:p>
      <w:pPr>
        <w:pStyle w:val="Heading2"/>
      </w:pPr>
      <w:r>
        <w:rPr>
          <w:color w:val="092D4A"/>
        </w:rPr>
        <w:t>9. Preguntas frecuentes</w:t>
      </w:r>
    </w:p>
    <w:p>
      <w:r>
        <w:rPr>
          <w:rFonts w:ascii="Calibri" w:hAnsi="Calibri"/>
          <w:b/>
          <w:sz w:val="22"/>
        </w:rPr>
        <w:t>¿Elogiar mucho o poco?</w:t>
      </w:r>
    </w:p>
    <w:p>
      <w:r>
        <w:rPr>
          <w:rFonts w:ascii="Calibri" w:hAnsi="Calibri"/>
          <w:b w:val="0"/>
          <w:sz w:val="22"/>
        </w:rPr>
        <w:t>Priorizad reconocimiento específico y creíble sobre elogio vacío o identidad fija («eres un genio»).</w:t>
      </w:r>
    </w:p>
    <w:p>
      <w:r>
        <w:rPr>
          <w:rFonts w:ascii="Calibri" w:hAnsi="Calibri"/>
          <w:b/>
          <w:sz w:val="22"/>
        </w:rPr>
        <w:t>¿Y si no quiere hablar?</w:t>
      </w:r>
    </w:p>
    <w:p>
      <w:r>
        <w:rPr>
          <w:rFonts w:ascii="Calibri" w:hAnsi="Calibri"/>
          <w:b w:val="0"/>
          <w:sz w:val="22"/>
        </w:rPr>
        <w:t>Ofreced presencia y un momento posterior. Evitad el interrogatorio en pleno desborde.</w:t>
      </w:r>
    </w:p>
    <w:p>
      <w:r>
        <w:rPr>
          <w:rFonts w:ascii="Calibri" w:hAnsi="Calibri"/>
          <w:b/>
          <w:sz w:val="22"/>
        </w:rPr>
        <w:t>¿Comparar hermanos motiva?</w:t>
      </w:r>
    </w:p>
    <w:p>
      <w:r>
        <w:rPr>
          <w:rFonts w:ascii="Calibri" w:hAnsi="Calibri"/>
          <w:b w:val="0"/>
          <w:sz w:val="22"/>
        </w:rPr>
        <w:t>Suele dañar. Mejor objetivos propios y ritmos distintos.</w:t>
      </w:r>
    </w:p>
    <w:p>
      <w:r>
        <w:rPr>
          <w:rFonts w:ascii="Calibri" w:hAnsi="Calibri"/>
          <w:b/>
          <w:sz w:val="22"/>
        </w:rPr>
        <w:t>¿Límites y castigos?</w:t>
      </w:r>
    </w:p>
    <w:p>
      <w:r>
        <w:rPr>
          <w:rFonts w:ascii="Calibri" w:hAnsi="Calibri"/>
          <w:b w:val="0"/>
          <w:sz w:val="22"/>
        </w:rPr>
        <w:t>Podéis ser firmes sin humillar ni retirar el vínculo. La reparación enseña responsabilidad.</w:t>
      </w:r>
    </w:p>
    <w:p>
      <w:r>
        <w:rPr>
          <w:rFonts w:ascii="Calibri" w:hAnsi="Calibri"/>
          <w:b/>
          <w:sz w:val="22"/>
        </w:rPr>
        <w:t>¿Pantallas y reputación digital?</w:t>
      </w:r>
    </w:p>
    <w:p>
      <w:r>
        <w:rPr>
          <w:rFonts w:ascii="Calibri" w:hAnsi="Calibri"/>
          <w:b w:val="0"/>
          <w:sz w:val="22"/>
        </w:rPr>
        <w:t>Con 9–11, hablad de métricas de popularidad como una medida parcial, no como valor total.</w:t>
      </w:r>
    </w:p>
    <w:p>
      <w:r>
        <w:rPr>
          <w:rFonts w:ascii="Calibri" w:hAnsi="Calibri"/>
          <w:b w:val="0"/>
          <w:sz w:val="22"/>
        </w:rPr>
        <w:t>Mensaje final: «Esto me afecta, puedo entenderlo, sigo teniendo valor y no tengo que resolverlo a solas.»</w:t>
      </w:r>
    </w:p>
    <w:p>
      <w:r>
        <w:rPr>
          <w:rFonts w:ascii="Calibri" w:hAnsi="Calibri"/>
          <w:b w:val="0"/>
          <w:sz w:val="22"/>
        </w:rPr>
        <w:t>cedricmilles.com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