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w:hAnsi="Aptos"/>
          <w:b/>
          <w:color w:val="183153"/>
          <w:sz w:val="36"/>
        </w:rPr>
        <w:t>Presupuesto 1 - MVP Comercial Apurado</w:t>
      </w:r>
    </w:p>
    <w:p>
      <w:pPr>
        <w:spacing w:after="120"/>
        <w:jc w:val="center"/>
      </w:pPr>
      <w:r>
        <w:rPr>
          <w:rFonts w:ascii="Aptos" w:hAnsi="Aptos"/>
          <w:b/>
          <w:color w:val="4B6480"/>
          <w:sz w:val="21"/>
        </w:rPr>
        <w:t>Plataforma Exchange Crypto</w:t>
      </w:r>
    </w:p>
    <w:tbl>
      <w:tblPr>
        <w:tblW w:type="auto" w:w="0"/>
        <w:jc w:val="center"/>
        <w:tblLayout w:type="fixed"/>
        <w:tblLook w:firstColumn="1" w:firstRow="1" w:lastColumn="0" w:lastRow="0" w:noHBand="0" w:noVBand="1" w:val="04A0"/>
      </w:tblPr>
      <w:tblGrid>
        <w:gridCol w:w="10152"/>
      </w:tblGrid>
      <w:tr>
        <w:tc>
          <w:tcPr>
            <w:tcW w:type="dxa" w:w="10570"/>
            <w:shd w:fill="EEF4FB"/>
            <w:tcMar>
              <w:top w:w="120" w:type="dxa"/>
              <w:start w:w="150" w:type="dxa"/>
              <w:bottom w:w="120" w:type="dxa"/>
              <w:end w:w="150" w:type="dxa"/>
            </w:tcMar>
          </w:tcPr>
          <w:p>
            <w:r>
              <w:rPr>
                <w:rFonts w:ascii="Aptos" w:hAnsi="Aptos"/>
                <w:b/>
                <w:color w:val="183153"/>
                <w:sz w:val="18"/>
              </w:rPr>
              <w:t xml:space="preserve">Documento ejecutivo sin totales. </w:t>
            </w:r>
            <w:r>
              <w:rPr>
                <w:rFonts w:ascii="Aptos" w:hAnsi="Aptos"/>
                <w:b w:val="0"/>
                <w:color w:val="183153"/>
                <w:sz w:val="18"/>
              </w:rPr>
              <w:t>Se amplian las explicaciones para reflejar mejor las funciones reales que debe cubrir una exchange en su etapa MVP, sin modificar ningun presupuesto.</w:t>
            </w:r>
          </w:p>
        </w:tc>
      </w:tr>
    </w:tbl>
    <w:p>
      <w:pPr>
        <w:spacing w:after="60"/>
      </w:pPr>
    </w:p>
    <w:tbl>
      <w:tblPr>
        <w:tblStyle w:val="TableGrid"/>
        <w:tblW w:type="auto" w:w="0"/>
        <w:jc w:val="center"/>
        <w:tblLayout w:type="fixed"/>
        <w:tblLook w:firstColumn="1" w:firstRow="1" w:lastColumn="0" w:lastRow="0" w:noHBand="0" w:noVBand="1" w:val="04A0"/>
        <w:tblBorders>
          <w:top w:val="single" w:sz="8" w:space="0" w:color="D8DFE8"/>
          <w:left w:val="single" w:sz="8" w:space="0" w:color="D8DFE8"/>
          <w:bottom w:val="single" w:sz="8" w:space="0" w:color="D8DFE8"/>
          <w:right w:val="single" w:sz="8" w:space="0" w:color="D8DFE8"/>
          <w:insideH w:val="single" w:sz="8" w:space="0" w:color="D8DFE8"/>
          <w:insideV w:val="single" w:sz="8" w:space="0" w:color="D8DFE8"/>
        </w:tblBorders>
      </w:tblPr>
      <w:tblGrid>
        <w:gridCol w:w="2088"/>
        <w:gridCol w:w="7488"/>
        <w:gridCol w:w="1584"/>
      </w:tblGrid>
      <w:tr>
        <w:tc>
          <w:tcPr>
            <w:tcW w:type="dxa" w:w="3523"/>
            <w:shd w:fill="1F4E78"/>
            <w:tcMar>
              <w:top w:w="100" w:type="dxa"/>
              <w:start w:w="120" w:type="dxa"/>
              <w:bottom w:w="100" w:type="dxa"/>
              <w:end w:w="120" w:type="dxa"/>
            </w:tcMar>
            <w:vAlign w:val="center"/>
          </w:tcPr>
          <w:p>
            <w:pPr>
              <w:jc w:val="center"/>
            </w:pPr>
            <w:r>
              <w:rPr>
                <w:rFonts w:ascii="Aptos" w:hAnsi="Aptos"/>
                <w:b/>
                <w:color w:val="FFFFFF"/>
                <w:sz w:val="17"/>
              </w:rPr>
              <w:t>Area</w:t>
            </w:r>
          </w:p>
        </w:tc>
        <w:tc>
          <w:tcPr>
            <w:tcW w:type="dxa" w:w="3523"/>
            <w:shd w:fill="1F4E78"/>
            <w:tcMar>
              <w:top w:w="100" w:type="dxa"/>
              <w:start w:w="120" w:type="dxa"/>
              <w:bottom w:w="100" w:type="dxa"/>
              <w:end w:w="120" w:type="dxa"/>
            </w:tcMar>
            <w:vAlign w:val="center"/>
          </w:tcPr>
          <w:p>
            <w:pPr>
              <w:jc w:val="center"/>
            </w:pPr>
            <w:r>
              <w:rPr>
                <w:rFonts w:ascii="Aptos" w:hAnsi="Aptos"/>
                <w:b/>
                <w:color w:val="FFFFFF"/>
                <w:sz w:val="17"/>
              </w:rPr>
              <w:t>Que incluye detalladamente</w:t>
            </w:r>
          </w:p>
        </w:tc>
        <w:tc>
          <w:tcPr>
            <w:tcW w:type="dxa" w:w="3523"/>
            <w:shd w:fill="1F4E78"/>
            <w:tcMar>
              <w:top w:w="100" w:type="dxa"/>
              <w:start w:w="120" w:type="dxa"/>
              <w:bottom w:w="100" w:type="dxa"/>
              <w:end w:w="120" w:type="dxa"/>
            </w:tcMar>
            <w:vAlign w:val="center"/>
          </w:tcPr>
          <w:p>
            <w:pPr>
              <w:jc w:val="center"/>
            </w:pPr>
            <w:r>
              <w:rPr>
                <w:rFonts w:ascii="Aptos" w:hAnsi="Aptos"/>
                <w:b/>
                <w:color w:val="FFFFFF"/>
                <w:sz w:val="17"/>
              </w:rPr>
              <w:t>Presupuesto</w:t>
            </w:r>
          </w:p>
        </w:tc>
      </w:tr>
      <w:tr>
        <w:tc>
          <w:tcPr>
            <w:tcW w:type="dxa" w:w="2088"/>
            <w:shd w:fill="F7FAFD"/>
            <w:tcMar>
              <w:top w:w="92" w:type="dxa"/>
              <w:start w:w="120" w:type="dxa"/>
              <w:bottom w:w="92" w:type="dxa"/>
              <w:end w:w="120" w:type="dxa"/>
            </w:tcMar>
            <w:vAlign w:val="center"/>
          </w:tcPr>
          <w:p>
            <w:pPr>
              <w:jc w:val="left"/>
            </w:pPr>
            <w:r>
              <w:rPr>
                <w:rFonts w:ascii="Aptos" w:hAnsi="Aptos"/>
                <w:b/>
                <w:color w:val="17324D"/>
                <w:sz w:val="18"/>
              </w:rPr>
              <w:t>Backend principal</w:t>
            </w:r>
          </w:p>
        </w:tc>
        <w:tc>
          <w:tcPr>
            <w:tcW w:type="dxa" w:w="7488"/>
            <w:shd w:fill="F7FAFD"/>
            <w:tcMar>
              <w:top w:w="92" w:type="dxa"/>
              <w:start w:w="120" w:type="dxa"/>
              <w:bottom w:w="92" w:type="dxa"/>
              <w:end w:w="120" w:type="dxa"/>
            </w:tcMar>
            <w:vAlign w:val="center"/>
          </w:tcPr>
          <w:p>
            <w:pPr>
              <w:jc w:val="left"/>
            </w:pPr>
            <w:r>
              <w:rPr>
                <w:rFonts w:ascii="Aptos" w:hAnsi="Aptos"/>
                <w:b w:val="0"/>
                <w:color w:val="1F2937"/>
                <w:sz w:val="17"/>
              </w:rPr>
              <w:t>Desarrollo del nucleo transaccional y administrativo de la exchange: API principal, autenticacion segura, gestion de usuarios y perfiles, balances internos por activo, historial de movimientos, integracion con wallets hot, solicitudes y control de depositos/retiros, estados transaccionales, bitacora inicial de operaciones y panel administrativo basico. Tambien contempla funciones tipicas que una exchange necesita desde el arranque, como gestion de cuentas, conciliacion operativa inicial, consulta de saldos, trazabilidad de transacciones, reglas basicas para aprobacion o revision de retiros y estructura base para modulo P2P o intercambio interno inicial. Preparado para integrarse con frontend web, apps moviles y servicios blockchain.</w:t>
            </w:r>
          </w:p>
        </w:tc>
        <w:tc>
          <w:tcPr>
            <w:tcW w:type="dxa" w:w="1584"/>
            <w:shd w:fill="F7FAFD"/>
            <w:tcMar>
              <w:top w:w="92" w:type="dxa"/>
              <w:start w:w="120" w:type="dxa"/>
              <w:bottom w:w="92" w:type="dxa"/>
              <w:end w:w="120" w:type="dxa"/>
            </w:tcMar>
            <w:vAlign w:val="center"/>
          </w:tcPr>
          <w:p>
            <w:pPr>
              <w:jc w:val="center"/>
            </w:pPr>
            <w:r>
              <w:rPr>
                <w:rFonts w:ascii="Aptos" w:hAnsi="Aptos"/>
                <w:b/>
                <w:color w:val="17324D"/>
                <w:sz w:val="18"/>
              </w:rPr>
              <w:t>$6,000 USD</w:t>
            </w:r>
          </w:p>
        </w:tc>
      </w:tr>
      <w:tr>
        <w:tc>
          <w:tcPr>
            <w:tcW w:type="dxa" w:w="2088"/>
            <w:shd w:fill="FFFFFF"/>
            <w:tcMar>
              <w:top w:w="92" w:type="dxa"/>
              <w:start w:w="120" w:type="dxa"/>
              <w:bottom w:w="92" w:type="dxa"/>
              <w:end w:w="120" w:type="dxa"/>
            </w:tcMar>
            <w:vAlign w:val="center"/>
          </w:tcPr>
          <w:p>
            <w:pPr>
              <w:jc w:val="left"/>
            </w:pPr>
            <w:r>
              <w:rPr>
                <w:rFonts w:ascii="Aptos" w:hAnsi="Aptos"/>
                <w:b/>
                <w:color w:val="17324D"/>
                <w:sz w:val="18"/>
              </w:rPr>
              <w:t>Frontend web</w:t>
            </w:r>
          </w:p>
        </w:tc>
        <w:tc>
          <w:tcPr>
            <w:tcW w:type="dxa" w:w="7488"/>
            <w:shd w:fill="FFFFFF"/>
            <w:tcMar>
              <w:top w:w="92" w:type="dxa"/>
              <w:start w:w="120" w:type="dxa"/>
              <w:bottom w:w="92" w:type="dxa"/>
              <w:end w:w="120" w:type="dxa"/>
            </w:tcMar>
            <w:vAlign w:val="center"/>
          </w:tcPr>
          <w:p>
            <w:pPr>
              <w:jc w:val="left"/>
            </w:pPr>
            <w:r>
              <w:rPr>
                <w:rFonts w:ascii="Aptos" w:hAnsi="Aptos"/>
                <w:b w:val="0"/>
                <w:color w:val="1F2937"/>
                <w:sz w:val="17"/>
              </w:rPr>
              <w:t>Desarrollo del panel web para usuarios y administracion: dashboard principal, visualizacion de mercado, balances, historial, ordenes, depositos, retiros, perfil, alertas visuales, formularios operativos y panel administrativo basico. Se refuerzan funciones que una exchange debe mostrar con claridad, como resumen de cuenta, historial de operaciones, estado de depositos y retiros, consulta de precios o mercado, seguimiento de ordenes y acceso a seguridad de cuenta. Incluye diseno responsive para desktop y movil, estructura clara de navegacion y una base profesional para operar comercialmente desde navegador.</w:t>
            </w:r>
          </w:p>
        </w:tc>
        <w:tc>
          <w:tcPr>
            <w:tcW w:type="dxa" w:w="1584"/>
            <w:shd w:fill="FFFFFF"/>
            <w:tcMar>
              <w:top w:w="92" w:type="dxa"/>
              <w:start w:w="120" w:type="dxa"/>
              <w:bottom w:w="92" w:type="dxa"/>
              <w:end w:w="120" w:type="dxa"/>
            </w:tcMar>
            <w:vAlign w:val="center"/>
          </w:tcPr>
          <w:p>
            <w:pPr>
              <w:jc w:val="center"/>
            </w:pPr>
            <w:r>
              <w:rPr>
                <w:rFonts w:ascii="Aptos" w:hAnsi="Aptos"/>
                <w:b/>
                <w:color w:val="17324D"/>
                <w:sz w:val="18"/>
              </w:rPr>
              <w:t>$3,000 USD</w:t>
            </w:r>
          </w:p>
        </w:tc>
      </w:tr>
      <w:tr>
        <w:tc>
          <w:tcPr>
            <w:tcW w:type="dxa" w:w="2088"/>
            <w:shd w:fill="F7FAFD"/>
            <w:tcMar>
              <w:top w:w="92" w:type="dxa"/>
              <w:start w:w="120" w:type="dxa"/>
              <w:bottom w:w="92" w:type="dxa"/>
              <w:end w:w="120" w:type="dxa"/>
            </w:tcMar>
            <w:vAlign w:val="center"/>
          </w:tcPr>
          <w:p>
            <w:pPr>
              <w:jc w:val="left"/>
            </w:pPr>
            <w:r>
              <w:rPr>
                <w:rFonts w:ascii="Aptos" w:hAnsi="Aptos"/>
                <w:b/>
                <w:color w:val="17324D"/>
                <w:sz w:val="18"/>
              </w:rPr>
              <w:t>Diseno UI/UX</w:t>
            </w:r>
          </w:p>
        </w:tc>
        <w:tc>
          <w:tcPr>
            <w:tcW w:type="dxa" w:w="7488"/>
            <w:shd w:fill="F7FAFD"/>
            <w:tcMar>
              <w:top w:w="92" w:type="dxa"/>
              <w:start w:w="120" w:type="dxa"/>
              <w:bottom w:w="92" w:type="dxa"/>
              <w:end w:w="120" w:type="dxa"/>
            </w:tcMar>
            <w:vAlign w:val="center"/>
          </w:tcPr>
          <w:p>
            <w:pPr>
              <w:jc w:val="left"/>
            </w:pPr>
            <w:r>
              <w:rPr>
                <w:rFonts w:ascii="Aptos" w:hAnsi="Aptos"/>
                <w:b w:val="0"/>
                <w:color w:val="1F2937"/>
                <w:sz w:val="17"/>
              </w:rPr>
              <w:t>Ajuste visual y estructural del producto: branding inicial, jerarquia visual, pantallas principales, experiencia web, componentes reutilizables, estructura funcional del dashboard, formularios y vistas operativas. Se orienta a que las funciones criticas de una exchange -como depositar, retirar, ver balances, revisar historial, consultar el mercado y gestionar la cuenta- sean faciles de entender y ejecutar. El objetivo es que el MVP no se vea como demo tecnica, sino como producto comercial presentable ante clientes, socios o inversionistas.</w:t>
            </w:r>
          </w:p>
        </w:tc>
        <w:tc>
          <w:tcPr>
            <w:tcW w:type="dxa" w:w="1584"/>
            <w:shd w:fill="F7FAFD"/>
            <w:tcMar>
              <w:top w:w="92" w:type="dxa"/>
              <w:start w:w="120" w:type="dxa"/>
              <w:bottom w:w="92" w:type="dxa"/>
              <w:end w:w="120" w:type="dxa"/>
            </w:tcMar>
            <w:vAlign w:val="center"/>
          </w:tcPr>
          <w:p>
            <w:pPr>
              <w:jc w:val="center"/>
            </w:pPr>
            <w:r>
              <w:rPr>
                <w:rFonts w:ascii="Aptos" w:hAnsi="Aptos"/>
                <w:b/>
                <w:color w:val="17324D"/>
                <w:sz w:val="18"/>
              </w:rPr>
              <w:t>$1,500 USD</w:t>
            </w:r>
          </w:p>
        </w:tc>
      </w:tr>
      <w:tr>
        <w:tc>
          <w:tcPr>
            <w:tcW w:type="dxa" w:w="2088"/>
            <w:shd w:fill="FFFFFF"/>
            <w:tcMar>
              <w:top w:w="92" w:type="dxa"/>
              <w:start w:w="120" w:type="dxa"/>
              <w:bottom w:w="92" w:type="dxa"/>
              <w:end w:w="120" w:type="dxa"/>
            </w:tcMar>
            <w:vAlign w:val="center"/>
          </w:tcPr>
          <w:p>
            <w:pPr>
              <w:jc w:val="left"/>
            </w:pPr>
            <w:r>
              <w:rPr>
                <w:rFonts w:ascii="Aptos" w:hAnsi="Aptos"/>
                <w:b/>
                <w:color w:val="17324D"/>
                <w:sz w:val="18"/>
              </w:rPr>
              <w:t>Apps moviles</w:t>
            </w:r>
          </w:p>
        </w:tc>
        <w:tc>
          <w:tcPr>
            <w:tcW w:type="dxa" w:w="7488"/>
            <w:shd w:fill="FFFFFF"/>
            <w:tcMar>
              <w:top w:w="92" w:type="dxa"/>
              <w:start w:w="120" w:type="dxa"/>
              <w:bottom w:w="92" w:type="dxa"/>
              <w:end w:w="120" w:type="dxa"/>
            </w:tcMar>
            <w:vAlign w:val="center"/>
          </w:tcPr>
          <w:p>
            <w:pPr>
              <w:jc w:val="left"/>
            </w:pPr>
            <w:r>
              <w:rPr>
                <w:rFonts w:ascii="Aptos" w:hAnsi="Aptos"/>
                <w:b w:val="0"/>
                <w:color w:val="1F2937"/>
                <w:sz w:val="17"/>
              </w:rPr>
              <w:t>Desarrollo de version Android e iOS con enfoque comercial apurado, usando base reutilizable o stack hibrido para reducir tiempos y costos. Incluye login, perfil, consulta de balances, historial, depositos, retiros, notificaciones basicas y conexion directa al backend. Tambien cubre funciones minimas que un usuario espera en una exchange movil: acceso rapido a su cuenta, consulta de precios o mercado, revision de movimientos, gestion de seguridad basica y seguimiento de operaciones. Se deja lista la base para compilacion, pruebas y publicacion inicial en tiendas.</w:t>
            </w:r>
          </w:p>
        </w:tc>
        <w:tc>
          <w:tcPr>
            <w:tcW w:type="dxa" w:w="1584"/>
            <w:shd w:fill="FFFFFF"/>
            <w:tcMar>
              <w:top w:w="92" w:type="dxa"/>
              <w:start w:w="120" w:type="dxa"/>
              <w:bottom w:w="92" w:type="dxa"/>
              <w:end w:w="120" w:type="dxa"/>
            </w:tcMar>
            <w:vAlign w:val="center"/>
          </w:tcPr>
          <w:p>
            <w:pPr>
              <w:jc w:val="center"/>
            </w:pPr>
            <w:r>
              <w:rPr>
                <w:rFonts w:ascii="Aptos" w:hAnsi="Aptos"/>
                <w:b/>
                <w:color w:val="17324D"/>
                <w:sz w:val="18"/>
              </w:rPr>
              <w:t>$6,000 USD</w:t>
            </w:r>
          </w:p>
        </w:tc>
      </w:tr>
      <w:tr>
        <w:tc>
          <w:tcPr>
            <w:tcW w:type="dxa" w:w="2088"/>
            <w:shd w:fill="F7FAFD"/>
            <w:tcMar>
              <w:top w:w="92" w:type="dxa"/>
              <w:start w:w="120" w:type="dxa"/>
              <w:bottom w:w="92" w:type="dxa"/>
              <w:end w:w="120" w:type="dxa"/>
            </w:tcMar>
            <w:vAlign w:val="center"/>
          </w:tcPr>
          <w:p>
            <w:pPr>
              <w:jc w:val="left"/>
            </w:pPr>
            <w:r>
              <w:rPr>
                <w:rFonts w:ascii="Aptos" w:hAnsi="Aptos"/>
                <w:b/>
                <w:color w:val="17324D"/>
                <w:sz w:val="18"/>
              </w:rPr>
              <w:t>Template / base exchange</w:t>
            </w:r>
          </w:p>
        </w:tc>
        <w:tc>
          <w:tcPr>
            <w:tcW w:type="dxa" w:w="7488"/>
            <w:shd w:fill="F7FAFD"/>
            <w:tcMar>
              <w:top w:w="92" w:type="dxa"/>
              <w:start w:w="120" w:type="dxa"/>
              <w:bottom w:w="92" w:type="dxa"/>
              <w:end w:w="120" w:type="dxa"/>
            </w:tcMar>
            <w:vAlign w:val="center"/>
          </w:tcPr>
          <w:p>
            <w:pPr>
              <w:jc w:val="left"/>
            </w:pPr>
            <w:r>
              <w:rPr>
                <w:rFonts w:ascii="Aptos" w:hAnsi="Aptos"/>
                <w:b w:val="0"/>
                <w:color w:val="1F2937"/>
                <w:sz w:val="17"/>
              </w:rPr>
              <w:t>Compra y adaptacion de plantilla premium o base visual/tecnica para acelerar la salida al mercado. Puede incluir layout de dashboard, tablas, componentes de UI, estructuras visuales y modulos reutilizables que reducen tiempo de maquetacion y mejoran la presentacion inicial del producto. Ayuda a cubrir mas rapido vistas propias de una exchange, como panel de mercado, movimientos, ordenes, activos y gestion de usuario.</w:t>
            </w:r>
          </w:p>
        </w:tc>
        <w:tc>
          <w:tcPr>
            <w:tcW w:type="dxa" w:w="1584"/>
            <w:shd w:fill="F7FAFD"/>
            <w:tcMar>
              <w:top w:w="92" w:type="dxa"/>
              <w:start w:w="120" w:type="dxa"/>
              <w:bottom w:w="92" w:type="dxa"/>
              <w:end w:w="120" w:type="dxa"/>
            </w:tcMar>
            <w:vAlign w:val="center"/>
          </w:tcPr>
          <w:p>
            <w:pPr>
              <w:jc w:val="center"/>
            </w:pPr>
            <w:r>
              <w:rPr>
                <w:rFonts w:ascii="Aptos" w:hAnsi="Aptos"/>
                <w:b/>
                <w:color w:val="17324D"/>
                <w:sz w:val="18"/>
              </w:rPr>
              <w:t>$300 USD</w:t>
            </w:r>
          </w:p>
        </w:tc>
      </w:tr>
      <w:tr>
        <w:tc>
          <w:tcPr>
            <w:tcW w:type="dxa" w:w="2088"/>
            <w:shd w:fill="FFFFFF"/>
            <w:tcMar>
              <w:top w:w="92" w:type="dxa"/>
              <w:start w:w="120" w:type="dxa"/>
              <w:bottom w:w="92" w:type="dxa"/>
              <w:end w:w="120" w:type="dxa"/>
            </w:tcMar>
            <w:vAlign w:val="center"/>
          </w:tcPr>
          <w:p>
            <w:pPr>
              <w:jc w:val="left"/>
            </w:pPr>
            <w:r>
              <w:rPr>
                <w:rFonts w:ascii="Aptos" w:hAnsi="Aptos"/>
                <w:b/>
                <w:color w:val="17324D"/>
                <w:sz w:val="18"/>
              </w:rPr>
              <w:t>OTP y seguridad inicial</w:t>
            </w:r>
          </w:p>
        </w:tc>
        <w:tc>
          <w:tcPr>
            <w:tcW w:type="dxa" w:w="7488"/>
            <w:shd w:fill="FFFFFF"/>
            <w:tcMar>
              <w:top w:w="92" w:type="dxa"/>
              <w:start w:w="120" w:type="dxa"/>
              <w:bottom w:w="92" w:type="dxa"/>
              <w:end w:w="120" w:type="dxa"/>
            </w:tcMar>
            <w:vAlign w:val="center"/>
          </w:tcPr>
          <w:p>
            <w:pPr>
              <w:jc w:val="left"/>
            </w:pPr>
            <w:r>
              <w:rPr>
                <w:rFonts w:ascii="Aptos" w:hAnsi="Aptos"/>
                <w:b w:val="0"/>
                <w:color w:val="1F2937"/>
                <w:sz w:val="17"/>
              </w:rPr>
              <w:t>Implementacion de seguridad base para entorno productivo: OTP por correo, estructura para OTP por SMS, control de sesiones, expiracion de tokens o accesos, rate limiting, validaciones de endpoints sensibles, proteccion basica contra abuso, control de intentos fallidos y endurecimiento inicial de rutas criticas como login, retiros y cambios de cuenta. Se enfoca en funciones esenciales de seguridad que una exchange debe tener desde el principio: proteccion de acceso, confirmacion de acciones sensibles y barreras iniciales contra uso indebido.</w:t>
            </w:r>
          </w:p>
        </w:tc>
        <w:tc>
          <w:tcPr>
            <w:tcW w:type="dxa" w:w="1584"/>
            <w:shd w:fill="FFFFFF"/>
            <w:tcMar>
              <w:top w:w="92" w:type="dxa"/>
              <w:start w:w="120" w:type="dxa"/>
              <w:bottom w:w="92" w:type="dxa"/>
              <w:end w:w="120" w:type="dxa"/>
            </w:tcMar>
            <w:vAlign w:val="center"/>
          </w:tcPr>
          <w:p>
            <w:pPr>
              <w:jc w:val="center"/>
            </w:pPr>
            <w:r>
              <w:rPr>
                <w:rFonts w:ascii="Aptos" w:hAnsi="Aptos"/>
                <w:b/>
                <w:color w:val="17324D"/>
                <w:sz w:val="18"/>
              </w:rPr>
              <w:t>$1,200 USD</w:t>
            </w:r>
          </w:p>
        </w:tc>
      </w:tr>
      <w:tr>
        <w:tc>
          <w:tcPr>
            <w:tcW w:type="dxa" w:w="2088"/>
            <w:shd w:fill="F7FAFD"/>
            <w:tcMar>
              <w:top w:w="92" w:type="dxa"/>
              <w:start w:w="120" w:type="dxa"/>
              <w:bottom w:w="92" w:type="dxa"/>
              <w:end w:w="120" w:type="dxa"/>
            </w:tcMar>
            <w:vAlign w:val="center"/>
          </w:tcPr>
          <w:p>
            <w:pPr>
              <w:jc w:val="left"/>
            </w:pPr>
            <w:r>
              <w:rPr>
                <w:rFonts w:ascii="Aptos" w:hAnsi="Aptos"/>
                <w:b/>
                <w:color w:val="17324D"/>
                <w:sz w:val="18"/>
              </w:rPr>
              <w:t>Smart contracts</w:t>
            </w:r>
          </w:p>
        </w:tc>
        <w:tc>
          <w:tcPr>
            <w:tcW w:type="dxa" w:w="7488"/>
            <w:shd w:fill="F7FAFD"/>
            <w:tcMar>
              <w:top w:w="92" w:type="dxa"/>
              <w:start w:w="120" w:type="dxa"/>
              <w:bottom w:w="92" w:type="dxa"/>
              <w:end w:w="120" w:type="dxa"/>
            </w:tcMar>
            <w:vAlign w:val="center"/>
          </w:tcPr>
          <w:p>
            <w:pPr>
              <w:jc w:val="left"/>
            </w:pPr>
            <w:r>
              <w:rPr>
                <w:rFonts w:ascii="Aptos" w:hAnsi="Aptos"/>
                <w:b w:val="0"/>
                <w:color w:val="1F2937"/>
                <w:sz w:val="17"/>
              </w:rPr>
              <w:t>Desarrollo e integracion de hasta 3 smart contracts basicos para funciones especificas del ecosistema. Incluye programacion, pruebas funcionales iniciales, despliegue y conexion con backend o logica de plataforma donde corresponda. Puede servir para respaldar procesos como manejo de activos tokenizados, logica puntual on-chain o funciones concretas del producto. Enfocado a un MVP usable, no a una arquitectura on-chain compleja ni a auditoria externa avanzada.</w:t>
            </w:r>
          </w:p>
        </w:tc>
        <w:tc>
          <w:tcPr>
            <w:tcW w:type="dxa" w:w="1584"/>
            <w:shd w:fill="F7FAFD"/>
            <w:tcMar>
              <w:top w:w="92" w:type="dxa"/>
              <w:start w:w="120" w:type="dxa"/>
              <w:bottom w:w="92" w:type="dxa"/>
              <w:end w:w="120" w:type="dxa"/>
            </w:tcMar>
            <w:vAlign w:val="center"/>
          </w:tcPr>
          <w:p>
            <w:pPr>
              <w:jc w:val="center"/>
            </w:pPr>
            <w:r>
              <w:rPr>
                <w:rFonts w:ascii="Aptos" w:hAnsi="Aptos"/>
                <w:b/>
                <w:color w:val="17324D"/>
                <w:sz w:val="18"/>
              </w:rPr>
              <w:t>$1,350 USD</w:t>
            </w:r>
          </w:p>
        </w:tc>
      </w:tr>
      <w:tr>
        <w:tc>
          <w:tcPr>
            <w:tcW w:type="dxa" w:w="2088"/>
            <w:shd w:fill="FFFFFF"/>
            <w:tcMar>
              <w:top w:w="92" w:type="dxa"/>
              <w:start w:w="120" w:type="dxa"/>
              <w:bottom w:w="92" w:type="dxa"/>
              <w:end w:w="120" w:type="dxa"/>
            </w:tcMar>
            <w:vAlign w:val="center"/>
          </w:tcPr>
          <w:p>
            <w:pPr>
              <w:jc w:val="left"/>
            </w:pPr>
            <w:r>
              <w:rPr>
                <w:rFonts w:ascii="Aptos" w:hAnsi="Aptos"/>
                <w:b/>
                <w:color w:val="17324D"/>
                <w:sz w:val="18"/>
              </w:rPr>
              <w:t>Traduccion multiidioma (i18n)</w:t>
            </w:r>
          </w:p>
        </w:tc>
        <w:tc>
          <w:tcPr>
            <w:tcW w:type="dxa" w:w="7488"/>
            <w:shd w:fill="FFFFFF"/>
            <w:tcMar>
              <w:top w:w="92" w:type="dxa"/>
              <w:start w:w="120" w:type="dxa"/>
              <w:bottom w:w="92" w:type="dxa"/>
              <w:end w:w="120" w:type="dxa"/>
            </w:tcMar>
            <w:vAlign w:val="center"/>
          </w:tcPr>
          <w:p>
            <w:pPr>
              <w:jc w:val="left"/>
            </w:pPr>
            <w:r>
              <w:rPr>
                <w:rFonts w:ascii="Aptos" w:hAnsi="Aptos"/>
                <w:b w:val="0"/>
                <w:color w:val="1F2937"/>
                <w:sz w:val="17"/>
              </w:rPr>
              <w:t>Implementacion base de espanol e ingles mediante estructura tecnica de internacionalizacion: archivos de idioma, traduccion de textos principales, selector de idioma, adaptacion de componentes de interfaz y preparacion del frontend para escalar a mas idiomas sin rehacer la arquitectura visual o funcional. Esto permite que funciones centrales de la exchange -registro, balances, depositos, retiros, historial, mercado, ordenes y seguridad de cuenta- puedan mostrarse correctamente en mas de un idioma.</w:t>
            </w:r>
          </w:p>
        </w:tc>
        <w:tc>
          <w:tcPr>
            <w:tcW w:type="dxa" w:w="1584"/>
            <w:shd w:fill="FFFFFF"/>
            <w:tcMar>
              <w:top w:w="92" w:type="dxa"/>
              <w:start w:w="120" w:type="dxa"/>
              <w:bottom w:w="92" w:type="dxa"/>
              <w:end w:w="120" w:type="dxa"/>
            </w:tcMar>
            <w:vAlign w:val="center"/>
          </w:tcPr>
          <w:p>
            <w:pPr>
              <w:jc w:val="center"/>
            </w:pPr>
            <w:r>
              <w:rPr>
                <w:rFonts w:ascii="Aptos" w:hAnsi="Aptos"/>
                <w:b/>
                <w:color w:val="17324D"/>
                <w:sz w:val="18"/>
              </w:rPr>
              <w:t>$1,200 USD</w:t>
            </w:r>
          </w:p>
        </w:tc>
      </w:tr>
      <w:tr>
        <w:tc>
          <w:tcPr>
            <w:tcW w:type="dxa" w:w="2088"/>
            <w:shd w:fill="F7FAFD"/>
            <w:tcMar>
              <w:top w:w="92" w:type="dxa"/>
              <w:start w:w="120" w:type="dxa"/>
              <w:bottom w:w="92" w:type="dxa"/>
              <w:end w:w="120" w:type="dxa"/>
            </w:tcMar>
            <w:vAlign w:val="center"/>
          </w:tcPr>
          <w:p>
            <w:pPr>
              <w:jc w:val="left"/>
            </w:pPr>
            <w:r>
              <w:rPr>
                <w:rFonts w:ascii="Aptos" w:hAnsi="Aptos"/>
                <w:b/>
                <w:color w:val="17324D"/>
                <w:sz w:val="18"/>
              </w:rPr>
              <w:t>Infraestructura inicial</w:t>
            </w:r>
          </w:p>
        </w:tc>
        <w:tc>
          <w:tcPr>
            <w:tcW w:type="dxa" w:w="7488"/>
            <w:shd w:fill="F7FAFD"/>
            <w:tcMar>
              <w:top w:w="92" w:type="dxa"/>
              <w:start w:w="120" w:type="dxa"/>
              <w:bottom w:w="92" w:type="dxa"/>
              <w:end w:w="120" w:type="dxa"/>
            </w:tcMar>
            <w:vAlign w:val="center"/>
          </w:tcPr>
          <w:p>
            <w:pPr>
              <w:jc w:val="left"/>
            </w:pPr>
            <w:r>
              <w:rPr>
                <w:rFonts w:ascii="Aptos" w:hAnsi="Aptos"/>
                <w:b w:val="0"/>
                <w:color w:val="1F2937"/>
                <w:sz w:val="17"/>
              </w:rPr>
              <w:t>Montaje del entorno tecnico minimo para produccion: VPS o servidor cloud, configuracion del sistema base, nodo o conexion RPC/API blockchain, base de datos productiva, Redis o cache auxiliar, integracion de APIs externas, configuracion de Cloudflare, dominio, DNS, backups iniciales y monitoreo basico del primer mes. Aqui se incluye la base tecnica real para que la exchange opere en internet con acceso publico: servidor de aplicacion, base de datos, resolucion de dominio, SSL a traves de la capa de despliegue, proteccion perimetral con Cloudflare, conectividad blockchain y recursos iniciales para continuidad operativa.</w:t>
            </w:r>
          </w:p>
        </w:tc>
        <w:tc>
          <w:tcPr>
            <w:tcW w:type="dxa" w:w="1584"/>
            <w:shd w:fill="F7FAFD"/>
            <w:tcMar>
              <w:top w:w="92" w:type="dxa"/>
              <w:start w:w="120" w:type="dxa"/>
              <w:bottom w:w="92" w:type="dxa"/>
              <w:end w:w="120" w:type="dxa"/>
            </w:tcMar>
            <w:vAlign w:val="center"/>
          </w:tcPr>
          <w:p>
            <w:pPr>
              <w:jc w:val="center"/>
            </w:pPr>
            <w:r>
              <w:rPr>
                <w:rFonts w:ascii="Aptos" w:hAnsi="Aptos"/>
                <w:b/>
                <w:color w:val="17324D"/>
                <w:sz w:val="18"/>
              </w:rPr>
              <w:t>$2,411 USD</w:t>
            </w:r>
          </w:p>
        </w:tc>
      </w:tr>
      <w:tr>
        <w:tc>
          <w:tcPr>
            <w:tcW w:type="dxa" w:w="2088"/>
            <w:shd w:fill="FFFFFF"/>
            <w:tcMar>
              <w:top w:w="92" w:type="dxa"/>
              <w:start w:w="120" w:type="dxa"/>
              <w:bottom w:w="92" w:type="dxa"/>
              <w:end w:w="120" w:type="dxa"/>
            </w:tcMar>
            <w:vAlign w:val="center"/>
          </w:tcPr>
          <w:p>
            <w:pPr>
              <w:jc w:val="left"/>
            </w:pPr>
            <w:r>
              <w:rPr>
                <w:rFonts w:ascii="Aptos" w:hAnsi="Aptos"/>
                <w:b/>
                <w:color w:val="17324D"/>
                <w:sz w:val="18"/>
              </w:rPr>
              <w:t>QA basico</w:t>
            </w:r>
          </w:p>
        </w:tc>
        <w:tc>
          <w:tcPr>
            <w:tcW w:type="dxa" w:w="7488"/>
            <w:shd w:fill="FFFFFF"/>
            <w:tcMar>
              <w:top w:w="92" w:type="dxa"/>
              <w:start w:w="120" w:type="dxa"/>
              <w:bottom w:w="92" w:type="dxa"/>
              <w:end w:w="120" w:type="dxa"/>
            </w:tcMar>
            <w:vAlign w:val="center"/>
          </w:tcPr>
          <w:p>
            <w:pPr>
              <w:jc w:val="left"/>
            </w:pPr>
            <w:r>
              <w:rPr>
                <w:rFonts w:ascii="Aptos" w:hAnsi="Aptos"/>
                <w:b w:val="0"/>
                <w:color w:val="1F2937"/>
                <w:sz w:val="17"/>
              </w:rPr>
              <w:t>Pruebas funcionales generales del MVP en web y movil: login, registro, depositos, retiros, balances, historial, flujo de panel, validaciones basicas, revision de errores visibles y chequeo operativo de los modulos principales. Se revisan especialmente funciones que son clave en una exchange: acceso de usuario, lectura correcta de saldos, consistencia del historial, solicitud de retiros, visualizacion del mercado y estabilidad de las pantallas principales.</w:t>
            </w:r>
          </w:p>
        </w:tc>
        <w:tc>
          <w:tcPr>
            <w:tcW w:type="dxa" w:w="1584"/>
            <w:shd w:fill="FFFFFF"/>
            <w:tcMar>
              <w:top w:w="92" w:type="dxa"/>
              <w:start w:w="120" w:type="dxa"/>
              <w:bottom w:w="92" w:type="dxa"/>
              <w:end w:w="120" w:type="dxa"/>
            </w:tcMar>
            <w:vAlign w:val="center"/>
          </w:tcPr>
          <w:p>
            <w:pPr>
              <w:jc w:val="center"/>
            </w:pPr>
            <w:r>
              <w:rPr>
                <w:rFonts w:ascii="Aptos" w:hAnsi="Aptos"/>
                <w:b/>
                <w:color w:val="17324D"/>
                <w:sz w:val="18"/>
              </w:rPr>
              <w:t>$1,200 USD</w:t>
            </w:r>
          </w:p>
        </w:tc>
      </w:tr>
      <w:tr>
        <w:tc>
          <w:tcPr>
            <w:tcW w:type="dxa" w:w="2088"/>
            <w:shd w:fill="F7FAFD"/>
            <w:tcMar>
              <w:top w:w="92" w:type="dxa"/>
              <w:start w:w="120" w:type="dxa"/>
              <w:bottom w:w="92" w:type="dxa"/>
              <w:end w:w="120" w:type="dxa"/>
            </w:tcMar>
            <w:vAlign w:val="center"/>
          </w:tcPr>
          <w:p>
            <w:pPr>
              <w:jc w:val="left"/>
            </w:pPr>
            <w:r>
              <w:rPr>
                <w:rFonts w:ascii="Aptos" w:hAnsi="Aptos"/>
                <w:b/>
                <w:color w:val="17324D"/>
                <w:sz w:val="18"/>
              </w:rPr>
              <w:t>DevOps y despliegue</w:t>
            </w:r>
          </w:p>
        </w:tc>
        <w:tc>
          <w:tcPr>
            <w:tcW w:type="dxa" w:w="7488"/>
            <w:shd w:fill="F7FAFD"/>
            <w:tcMar>
              <w:top w:w="92" w:type="dxa"/>
              <w:start w:w="120" w:type="dxa"/>
              <w:bottom w:w="92" w:type="dxa"/>
              <w:end w:w="120" w:type="dxa"/>
            </w:tcMar>
            <w:vAlign w:val="center"/>
          </w:tcPr>
          <w:p>
            <w:pPr>
              <w:jc w:val="left"/>
            </w:pPr>
            <w:r>
              <w:rPr>
                <w:rFonts w:ascii="Aptos" w:hAnsi="Aptos"/>
                <w:b w:val="0"/>
                <w:color w:val="1F2937"/>
                <w:sz w:val="17"/>
              </w:rPr>
              <w:t>Configuracion de produccion y salida en vivo: deploy de frontend y backend, variables de entorno, configuracion de servicios, certificados SSL, estructura inicial de logs, backups, reinicio de procesos, organizacion del entorno productivo y puesta en linea del sistema bajo dominio real. Esta partida aterriza todo lo tecnico que una exchange necesita para publicarse: servidor funcionando, dominio conectado, HTTPS activo, servicios levantados, configuracion segura de entorno y estructura basica para mantenimiento posterior.</w:t>
            </w:r>
          </w:p>
        </w:tc>
        <w:tc>
          <w:tcPr>
            <w:tcW w:type="dxa" w:w="1584"/>
            <w:shd w:fill="F7FAFD"/>
            <w:tcMar>
              <w:top w:w="92" w:type="dxa"/>
              <w:start w:w="120" w:type="dxa"/>
              <w:bottom w:w="92" w:type="dxa"/>
              <w:end w:w="120" w:type="dxa"/>
            </w:tcMar>
            <w:vAlign w:val="center"/>
          </w:tcPr>
          <w:p>
            <w:pPr>
              <w:jc w:val="center"/>
            </w:pPr>
            <w:r>
              <w:rPr>
                <w:rFonts w:ascii="Aptos" w:hAnsi="Aptos"/>
                <w:b/>
                <w:color w:val="17324D"/>
                <w:sz w:val="18"/>
              </w:rPr>
              <w:t>$1,000 USD</w:t>
            </w:r>
          </w:p>
        </w:tc>
      </w:tr>
      <w:tr>
        <w:tc>
          <w:tcPr>
            <w:tcW w:type="dxa" w:w="2088"/>
            <w:shd w:fill="FFFFFF"/>
            <w:tcMar>
              <w:top w:w="92" w:type="dxa"/>
              <w:start w:w="120" w:type="dxa"/>
              <w:bottom w:w="92" w:type="dxa"/>
              <w:end w:w="120" w:type="dxa"/>
            </w:tcMar>
            <w:vAlign w:val="center"/>
          </w:tcPr>
          <w:p>
            <w:pPr>
              <w:jc w:val="left"/>
            </w:pPr>
            <w:r>
              <w:rPr>
                <w:rFonts w:ascii="Aptos" w:hAnsi="Aptos"/>
                <w:b/>
                <w:color w:val="17324D"/>
                <w:sz w:val="18"/>
              </w:rPr>
              <w:t>Publicacion tiendas</w:t>
            </w:r>
          </w:p>
        </w:tc>
        <w:tc>
          <w:tcPr>
            <w:tcW w:type="dxa" w:w="7488"/>
            <w:shd w:fill="FFFFFF"/>
            <w:tcMar>
              <w:top w:w="92" w:type="dxa"/>
              <w:start w:w="120" w:type="dxa"/>
              <w:bottom w:w="92" w:type="dxa"/>
              <w:end w:w="120" w:type="dxa"/>
            </w:tcMar>
            <w:vAlign w:val="center"/>
          </w:tcPr>
          <w:p>
            <w:pPr>
              <w:jc w:val="left"/>
            </w:pPr>
            <w:r>
              <w:rPr>
                <w:rFonts w:ascii="Aptos" w:hAnsi="Aptos"/>
                <w:b w:val="0"/>
                <w:color w:val="1F2937"/>
                <w:sz w:val="17"/>
              </w:rPr>
              <w:t>Preparacion para Google Play Console y Apple Developer: configuracion inicial, empaquetado, compilaciones base, assets minimos y apoyo tecnico para dejar listas las apps para publicacion. Esto permite que las funciones moviles de la exchange queden listas para distribuirse a usuarios finales mediante tiendas oficiales.</w:t>
            </w:r>
          </w:p>
        </w:tc>
        <w:tc>
          <w:tcPr>
            <w:tcW w:type="dxa" w:w="1584"/>
            <w:shd w:fill="FFFFFF"/>
            <w:tcMar>
              <w:top w:w="92" w:type="dxa"/>
              <w:start w:w="120" w:type="dxa"/>
              <w:bottom w:w="92" w:type="dxa"/>
              <w:end w:w="120" w:type="dxa"/>
            </w:tcMar>
            <w:vAlign w:val="center"/>
          </w:tcPr>
          <w:p>
            <w:pPr>
              <w:jc w:val="center"/>
            </w:pPr>
            <w:r>
              <w:rPr>
                <w:rFonts w:ascii="Aptos" w:hAnsi="Aptos"/>
                <w:b/>
                <w:color w:val="17324D"/>
                <w:sz w:val="18"/>
              </w:rPr>
              <w:t>$300 USD</w:t>
            </w:r>
          </w:p>
        </w:tc>
      </w:tr>
      <w:tr>
        <w:tc>
          <w:tcPr>
            <w:tcW w:type="dxa" w:w="2088"/>
            <w:shd w:fill="F7FAFD"/>
            <w:tcMar>
              <w:top w:w="92" w:type="dxa"/>
              <w:start w:w="120" w:type="dxa"/>
              <w:bottom w:w="92" w:type="dxa"/>
              <w:end w:w="120" w:type="dxa"/>
            </w:tcMar>
            <w:vAlign w:val="center"/>
          </w:tcPr>
          <w:p>
            <w:pPr>
              <w:jc w:val="left"/>
            </w:pPr>
            <w:r>
              <w:rPr>
                <w:rFonts w:ascii="Aptos" w:hAnsi="Aptos"/>
                <w:b/>
                <w:color w:val="17324D"/>
                <w:sz w:val="18"/>
              </w:rPr>
              <w:t>Soporte operativo inicial</w:t>
            </w:r>
          </w:p>
        </w:tc>
        <w:tc>
          <w:tcPr>
            <w:tcW w:type="dxa" w:w="7488"/>
            <w:shd w:fill="F7FAFD"/>
            <w:tcMar>
              <w:top w:w="92" w:type="dxa"/>
              <w:start w:w="120" w:type="dxa"/>
              <w:bottom w:w="92" w:type="dxa"/>
              <w:end w:w="120" w:type="dxa"/>
            </w:tcMar>
            <w:vAlign w:val="center"/>
          </w:tcPr>
          <w:p>
            <w:pPr>
              <w:jc w:val="left"/>
            </w:pPr>
            <w:r>
              <w:rPr>
                <w:rFonts w:ascii="Aptos" w:hAnsi="Aptos"/>
                <w:b w:val="0"/>
                <w:color w:val="1F2937"/>
                <w:sz w:val="17"/>
              </w:rPr>
              <w:t>Fondo operativo minimo para incidencias, ajustes tempranos, correcciones menores post-lanzamiento, revision de errores iniciales y acompanamiento tecnico en el arranque comercial del producto. Sirve para estabilizar funciones sensibles de la exchange durante sus primeros dias o semanas de uso real, sin modificar el alcance ni el presupuesto base del MVP.</w:t>
            </w:r>
          </w:p>
        </w:tc>
        <w:tc>
          <w:tcPr>
            <w:tcW w:type="dxa" w:w="1584"/>
            <w:shd w:fill="F7FAFD"/>
            <w:tcMar>
              <w:top w:w="92" w:type="dxa"/>
              <w:start w:w="120" w:type="dxa"/>
              <w:bottom w:w="92" w:type="dxa"/>
              <w:end w:w="120" w:type="dxa"/>
            </w:tcMar>
            <w:vAlign w:val="center"/>
          </w:tcPr>
          <w:p>
            <w:pPr>
              <w:jc w:val="center"/>
            </w:pPr>
            <w:r>
              <w:rPr>
                <w:rFonts w:ascii="Aptos" w:hAnsi="Aptos"/>
                <w:b/>
                <w:color w:val="17324D"/>
                <w:sz w:val="18"/>
              </w:rPr>
              <w:t>$1,500 USD</w:t>
            </w:r>
          </w:p>
        </w:tc>
      </w:tr>
    </w:tbl>
    <w:p>
      <w:pPr>
        <w:spacing w:before="160"/>
      </w:pPr>
      <w:r>
        <w:rPr>
          <w:rFonts w:ascii="Aptos" w:hAnsi="Aptos"/>
          <w:b/>
          <w:color w:val="6B7280"/>
          <w:sz w:val="18"/>
        </w:rPr>
        <w:t xml:space="preserve">Nota: </w:t>
      </w:r>
      <w:r>
        <w:rPr>
          <w:rFonts w:ascii="Aptos" w:hAnsi="Aptos"/>
          <w:b w:val="0"/>
          <w:color w:val="6B7280"/>
          <w:sz w:val="18"/>
        </w:rPr>
        <w:t>Se mantuvieron intactos todos los precios; solo se amplio la explicacion tecnica y funcional del alcance.</w:t>
      </w:r>
    </w:p>
    <w:sectPr w:rsidR="00FC693F" w:rsidRPr="0006063C" w:rsidSect="00034616">
      <w:pgSz w:w="12240" w:h="15840"/>
      <w:pgMar w:top="792"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