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4"/>
          <w:szCs w:val="24"/>
        </w:rPr>
        <w:t xml:space="preserve">Design and Development of iDetect:</w:t>
      </w:r>
    </w:p>
    <w:p>
      <w:pPr>
        <w:spacing w:after="0" w:line="240"/>
        <w:jc w:val="center"/>
      </w:pPr>
      <w:r>
        <w:rPr>
          <w:rFonts w:ascii="Times New Roman" w:cs="Times New Roman" w:eastAsia="Times New Roman" w:hAnsi="Times New Roman"/>
          <w:b/>
          <w:bCs/>
          <w:sz w:val="24"/>
          <w:szCs w:val="24"/>
        </w:rPr>
        <w:t xml:space="preserve">An OCR-Driven Discount ID Validity Checker System for Food Service Establishments in Valenzuela City</w:t>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sz w:val="24"/>
          <w:szCs w:val="24"/>
        </w:rPr>
        <w:t xml:space="preserve">Carlo M. De los Reyes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Jorich Maricar C. Enoria</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Vesti Sahm Angielo Mercado</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and Ishmael Luis C. Santiago</w:t>
      </w:r>
      <w:r>
        <w:rPr>
          <w:rFonts w:ascii="Times New Roman" w:cs="Times New Roman" w:eastAsia="Times New Roman" w:hAnsi="Times New Roman"/>
          <w:sz w:val="24"/>
          <w:szCs w:val="24"/>
          <w:vertAlign w:val="superscript"/>
        </w:rPr>
        <w:t xml:space="preserve">4</w:t>
      </w:r>
    </w:p>
    <w:p>
      <w:pPr>
        <w:spacing w:after="0" w:line="240"/>
      </w:pPr>
      <w:r>
        <w:rPr>
          <w:rFonts w:ascii="Times New Roman" w:cs="Times New Roman" w:eastAsia="Times New Roman" w:hAnsi="Times New Roman"/>
          <w:sz w:val="24"/>
          <w:szCs w:val="24"/>
        </w:rPr>
        <w:t xml:space="preserve"/>
      </w:r>
    </w:p>
    <w:p>
      <w:pPr>
        <w:pBdr>
          <w:bottom w:val="single" w:color="000000" w:sz="12" w:space="1"/>
        </w:pBdr>
        <w:spacing w:after="0" w:line="240"/>
      </w:pPr>
      <w:r>
        <w:rPr>
          <w:rFonts w:ascii="Times New Roman" w:cs="Times New Roman" w:eastAsia="Times New Roman" w:hAnsi="Times New Roman"/>
          <w:b/>
          <w:bCs/>
          <w:sz w:val="24"/>
          <w:szCs w:val="24"/>
        </w:rPr>
        <w:t xml:space="preserve">ABSTRACT</w:t>
      </w:r>
    </w:p>
    <w:p>
      <w:pPr>
        <w:pBdr>
          <w:bottom w:val="single" w:color="000000" w:sz="12" w:space="6"/>
        </w:pBdr>
        <w:spacing w:after="0" w:before="80" w:line="240"/>
        <w:jc w:val="both"/>
      </w:pPr>
      <w:r>
        <w:rPr>
          <w:rFonts w:ascii="Times New Roman" w:cs="Times New Roman" w:eastAsia="Times New Roman" w:hAnsi="Times New Roman"/>
          <w:sz w:val="24"/>
          <w:szCs w:val="24"/>
        </w:rPr>
        <w:t xml:space="preserve">Fake Senior Citizen and Persons with Disability (PWD) identification cards reduce government revenue, burden food service establishments, and expose legitimate beneficiaries to delays and wrongful denials. This study designed, developed, and evaluated iDetect, an OCR-based discount ID validation system that links food service establishments in Valenzuela City with local government unit databases through five portals: a Client Portal, a BPLO Portal, an OSCA Portal, a PDAO Portal, and a Beneficiary Mobile Application. A descriptive applied research design with a mixed-methods approach was used, and the system was developed following the Agile methodology. Thirty-seven respondents (3 IT Experts, 20 Business Establishment Staff, 4 OSCA and PDAO Personnel, and 10 Beneficiaries) rated the system through survey questionnaires based on ISO/IEC 25010 using a four-point Likert scale. The overall weighted means were 3.22 (IT Experts), 3.78 (Business Establishment Staff), 3.89 (OSCA/PDAO Personnel), and 3.43 (Beneficiaries), all interpreted as High, and no group gave a Low rating. The IT Experts rated Confidentiality, Integrity, Recoverability, and Analyzability as Moderate, and the Beneficiaries rated Recoverability and User Error Protection as Moderate. The results show that iDetect was perceived as a functional, usable, and acceptable solution, although security, audit logging, and recovery need further attention. The findings are preliminary because the survey of the Business Permits and Licensing Office (BPLO) personnel is not yet completed.</w:t>
      </w:r>
    </w:p>
    <w:p>
      <w:pPr>
        <w:spacing w:after="0" w:line="240"/>
      </w:pPr>
      <w:r>
        <w:rPr>
          <w:rFonts w:ascii="Times New Roman" w:cs="Times New Roman" w:eastAsia="Times New Roman" w:hAnsi="Times New Roman"/>
          <w:sz w:val="24"/>
          <w:szCs w:val="24"/>
        </w:rPr>
        <w:t xml:space="preserve"/>
      </w:r>
    </w:p>
    <w:p>
      <w:pPr>
        <w:spacing w:after="0" w:line="240"/>
        <w:jc w:val="both"/>
      </w:pPr>
      <w:r>
        <w:rPr>
          <w:rFonts w:ascii="Times New Roman" w:cs="Times New Roman" w:eastAsia="Times New Roman" w:hAnsi="Times New Roman"/>
          <w:b/>
          <w:bCs/>
          <w:i/>
          <w:iCs/>
          <w:sz w:val="24"/>
          <w:szCs w:val="24"/>
        </w:rPr>
        <w:t xml:space="preserve">Keywords</w:t>
      </w:r>
      <w:r>
        <w:rPr>
          <w:rFonts w:ascii="Times New Roman" w:cs="Times New Roman" w:eastAsia="Times New Roman" w:hAnsi="Times New Roman"/>
          <w:sz w:val="24"/>
          <w:szCs w:val="24"/>
        </w:rPr>
        <w:t xml:space="preserve">: OCR, discount ID validation, fraud prevention, Senior Citizens, Persons with Disability, ISO/IEC 25010</w:t>
      </w:r>
    </w:p>
    <w:p>
      <w:pPr>
        <w:spacing w:after="0" w:before="520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__________________</w:t>
      </w:r>
    </w:p>
    <w:p>
      <w:pPr>
        <w:spacing w:after="0" w:line="240"/>
        <w:jc w:val="both"/>
      </w:pPr>
      <w:r>
        <w:rPr>
          <w:rFonts w:ascii="Times New Roman" w:cs="Times New Roman" w:eastAsia="Times New Roman" w:hAnsi="Times New Roman"/>
          <w:i/>
          <w:iCs/>
          <w:sz w:val="20"/>
          <w:szCs w:val="20"/>
          <w:vertAlign w:val="superscript"/>
        </w:rPr>
        <w:t xml:space="preserve">1</w:t>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vertAlign w:val="superscript"/>
        </w:rPr>
        <w:t xml:space="preserve">4</w:t>
      </w:r>
      <w:r>
        <w:rPr>
          <w:rFonts w:ascii="Times New Roman" w:cs="Times New Roman" w:eastAsia="Times New Roman" w:hAnsi="Times New Roman"/>
          <w:i/>
          <w:iCs/>
          <w:sz w:val="20"/>
          <w:szCs w:val="20"/>
        </w:rPr>
        <w:t xml:space="preserve">Information Technology Department, College of Engineering and Information Technology, Student, Pamantasan ng Lungsod ng Valenzuela, Philippines</w:t>
      </w:r>
    </w:p>
    <w:p>
      <w:pPr>
        <w:sectPr>
          <w:pgSz w:w="12240" w:h="18720" w:orient="portrait"/>
          <w:pgMar w:top="1440" w:right="1440" w:bottom="1440" w:left="1440" w:header="706" w:footer="706" w:gutter="0"/>
          <w:pgNumType/>
          <w:docGrid w:linePitch="360"/>
        </w:sectPr>
      </w:pPr>
    </w:p>
    <w:p>
      <w:pPr>
        <w:keepNext/>
        <w:spacing w:after="0" w:before="0" w:line="240"/>
        <w:jc w:val="left"/>
      </w:pPr>
      <w:r>
        <w:rPr>
          <w:rFonts w:ascii="Times New Roman" w:cs="Times New Roman" w:eastAsia="Times New Roman" w:hAnsi="Times New Roman"/>
          <w:b/>
          <w:bCs/>
          <w:sz w:val="24"/>
          <w:szCs w:val="24"/>
        </w:rPr>
        <w:t xml:space="preserve">INTRODUCTION</w:t>
      </w:r>
    </w:p>
    <w:p>
      <w:pPr>
        <w:spacing w:after="0" w:line="240"/>
      </w:pPr>
      <w:r>
        <w:rPr>
          <w:rFonts w:ascii="Times New Roman" w:cs="Times New Roman" w:eastAsia="Times New Roman" w:hAnsi="Times New Roman"/>
          <w:sz w:val="24"/>
          <w:szCs w:val="24"/>
        </w:rPr>
        <w:t xml:space="preserve"/>
      </w:r>
    </w:p>
    <w:p>
      <w:pPr>
        <w:spacing w:after="0" w:line="240"/>
        <w:ind w:firstLine="720"/>
        <w:jc w:val="both"/>
      </w:pPr>
      <w:r>
        <w:rPr>
          <w:rFonts w:ascii="Times New Roman" w:cs="Times New Roman" w:eastAsia="Times New Roman" w:hAnsi="Times New Roman"/>
          <w:sz w:val="24"/>
          <w:szCs w:val="24"/>
        </w:rPr>
        <w:t xml:space="preserve">Senior citizens and persons with disabilities (PWDs) in the Philippines are entitled to a 20% discount and exemption from the 12% value-added tax under Republic Acts 9994 and 10754. However, fake identification cards have undermined these privileges. Fake PWD IDs were reported to outnumber legitimate ones by nearly 5 to 1, with about 8.5 million fraudulent IDs against 1.89 million registered PWDs (Bordey, 2024), and about ₱88.2 billion in tax revenue was lost in 2023 (Arceo, 2024).</w:t>
      </w:r>
    </w:p>
    <w:p>
      <w:pPr>
        <w:spacing w:after="0" w:line="240"/>
        <w:ind w:firstLine="720"/>
        <w:jc w:val="both"/>
      </w:pPr>
      <w:r>
        <w:rPr>
          <w:rFonts w:ascii="Times New Roman" w:cs="Times New Roman" w:eastAsia="Times New Roman" w:hAnsi="Times New Roman"/>
          <w:sz w:val="24"/>
          <w:szCs w:val="24"/>
        </w:rPr>
        <w:t xml:space="preserve">Food service establishments carry much of this burden. Restaurant operators reported that discount claims rose from about 5% of transactions in 2019 to over 30% by 2024, and one establishment rejected 726 of 4,212 presented PWD IDs (17.24%) in three months because of suspected fraud (Arceo, 2024). Stricter checking, in turn, exposes legitimate beneficiaries to delays and wrongful denials.</w:t>
      </w:r>
    </w:p>
    <w:p>
      <w:pPr>
        <w:spacing w:after="0" w:line="240"/>
        <w:ind w:firstLine="720"/>
        <w:jc w:val="both"/>
      </w:pPr>
      <w:r>
        <w:rPr>
          <w:rFonts w:ascii="Times New Roman" w:cs="Times New Roman" w:eastAsia="Times New Roman" w:hAnsi="Times New Roman"/>
          <w:sz w:val="24"/>
          <w:szCs w:val="24"/>
        </w:rPr>
        <w:t xml:space="preserve">Existing local verification platforms, such as the VAL ID Portal, OSCA Taguig, and PDAO Taguig, require manual data entry and work as one-way validation tools that cannot report suspicious IDs back to the issuing authorities. Integrated systems with coordinated intelligence sharing have been reported to achieve a 70% or higher fraud reduction (Protecht Group, 2025), and contemporary OCR reaches 95–99% accuracy on standardized documents (Liu et al., 2022). Yet no current Philippine platform reviewed in this study combines automated data capture, real-time dual-database validation, mobile accessibility, and bidirectional fraud reporting.</w:t>
      </w:r>
    </w:p>
    <w:p>
      <w:pPr>
        <w:spacing w:after="0" w:line="240"/>
        <w:ind w:firstLine="720"/>
        <w:jc w:val="both"/>
      </w:pPr>
      <w:r>
        <w:rPr>
          <w:rFonts w:ascii="Times New Roman" w:cs="Times New Roman" w:eastAsia="Times New Roman" w:hAnsi="Times New Roman"/>
          <w:sz w:val="24"/>
          <w:szCs w:val="24"/>
        </w:rPr>
        <w:t xml:space="preserve">This study therefore designed, developed, and evaluated iDetect, which connects food service establishments in Valenzuela City with the local government units through five portals. The study sought to answer the following questions:</w:t>
      </w:r>
    </w:p>
    <w:p>
      <w:pPr>
        <w:pStyle w:val="ListParagraph"/>
        <w:numPr>
          <w:ilvl w:val="0"/>
          <w:numId w:val="2"/>
        </w:numPr>
        <w:spacing w:after="0" w:line="240"/>
        <w:jc w:val="both"/>
      </w:pPr>
      <w:r>
        <w:rPr>
          <w:rFonts w:ascii="Times New Roman" w:cs="Times New Roman" w:eastAsia="Times New Roman" w:hAnsi="Times New Roman"/>
          <w:sz w:val="24"/>
          <w:szCs w:val="24"/>
        </w:rPr>
        <w:t xml:space="preserve">How can an OCR-based mobile validation system reduce the time required to authenticate Senior Citizen and PWD IDs compared to manual methods?</w:t>
      </w:r>
    </w:p>
    <w:p>
      <w:pPr>
        <w:pStyle w:val="ListParagraph"/>
        <w:numPr>
          <w:ilvl w:val="0"/>
          <w:numId w:val="2"/>
        </w:numPr>
        <w:spacing w:after="0" w:line="240"/>
        <w:jc w:val="both"/>
      </w:pPr>
      <w:r>
        <w:rPr>
          <w:rFonts w:ascii="Times New Roman" w:cs="Times New Roman" w:eastAsia="Times New Roman" w:hAnsi="Times New Roman"/>
          <w:sz w:val="24"/>
          <w:szCs w:val="24"/>
        </w:rPr>
        <w:t xml:space="preserve">To what extent can real-time dual-database validation with bidirectional fraud reporting reduce the acceptance of fraudulent credentials?</w:t>
      </w:r>
    </w:p>
    <w:p>
      <w:pPr>
        <w:pStyle w:val="ListParagraph"/>
        <w:numPr>
          <w:ilvl w:val="0"/>
          <w:numId w:val="2"/>
        </w:numPr>
        <w:spacing w:after="0" w:line="240"/>
        <w:jc w:val="both"/>
      </w:pPr>
      <w:r>
        <w:rPr>
          <w:rFonts w:ascii="Times New Roman" w:cs="Times New Roman" w:eastAsia="Times New Roman" w:hAnsi="Times New Roman"/>
          <w:sz w:val="24"/>
          <w:szCs w:val="24"/>
        </w:rPr>
        <w:t xml:space="preserve">How can a multi-portal role-based architecture enable coordinated fraud intelligence sharing while complying with the Data Privacy Act of 2012 (RA 10173)?</w:t>
      </w:r>
    </w:p>
    <w:p>
      <w:pPr>
        <w:pStyle w:val="ListParagraph"/>
        <w:numPr>
          <w:ilvl w:val="0"/>
          <w:numId w:val="2"/>
        </w:numPr>
        <w:spacing w:after="0" w:line="240"/>
        <w:jc w:val="both"/>
      </w:pPr>
      <w:r>
        <w:rPr>
          <w:rFonts w:ascii="Times New Roman" w:cs="Times New Roman" w:eastAsia="Times New Roman" w:hAnsi="Times New Roman"/>
          <w:sz w:val="24"/>
          <w:szCs w:val="24"/>
        </w:rPr>
        <w:t xml:space="preserve">How does a beneficiary-facing dispute resolution and notification mechanism address the accountability gap for wrongfully denied beneficiaries?</w:t>
      </w:r>
    </w:p>
    <w:p>
      <w:pPr>
        <w:pStyle w:val="ListParagraph"/>
        <w:numPr>
          <w:ilvl w:val="0"/>
          <w:numId w:val="2"/>
        </w:numPr>
        <w:spacing w:after="0" w:line="240"/>
        <w:jc w:val="both"/>
      </w:pPr>
      <w:r>
        <w:rPr>
          <w:rFonts w:ascii="Times New Roman" w:cs="Times New Roman" w:eastAsia="Times New Roman" w:hAnsi="Times New Roman"/>
          <w:sz w:val="24"/>
          <w:szCs w:val="24"/>
        </w:rPr>
        <w:t xml:space="preserve">How does iDetect perform against the ISO 25010 quality characteristics as evaluated by business establishment staff, LGU personnel, and beneficiaries?</w:t>
      </w:r>
    </w:p>
    <w:p>
      <w:pPr>
        <w:spacing w:after="0" w:line="240"/>
      </w:pPr>
      <w:r>
        <w:rPr>
          <w:rFonts w:ascii="Times New Roman" w:cs="Times New Roman" w:eastAsia="Times New Roman" w:hAnsi="Times New Roman"/>
          <w:sz w:val="24"/>
          <w:szCs w:val="24"/>
        </w:rPr>
        <w:t xml:space="preserve"/>
      </w:r>
    </w:p>
    <w:p>
      <w:pPr>
        <w:keepNext/>
        <w:spacing w:after="0" w:before="0" w:line="240"/>
        <w:jc w:val="left"/>
      </w:pPr>
      <w:r>
        <w:rPr>
          <w:rFonts w:ascii="Times New Roman" w:cs="Times New Roman" w:eastAsia="Times New Roman" w:hAnsi="Times New Roman"/>
          <w:b/>
          <w:bCs/>
          <w:sz w:val="24"/>
          <w:szCs w:val="24"/>
        </w:rPr>
        <w:t xml:space="preserve">METHODOLOGY</w:t>
      </w:r>
    </w:p>
    <w:p>
      <w:pPr>
        <w:spacing w:after="0" w:line="240"/>
      </w:pPr>
      <w:r>
        <w:rPr>
          <w:rFonts w:ascii="Times New Roman" w:cs="Times New Roman" w:eastAsia="Times New Roman" w:hAnsi="Times New Roman"/>
          <w:sz w:val="24"/>
          <w:szCs w:val="24"/>
        </w:rPr>
        <w:t xml:space="preserve"/>
      </w:r>
    </w:p>
    <w:p>
      <w:pPr>
        <w:spacing w:after="0" w:line="240"/>
        <w:ind w:firstLine="720"/>
        <w:jc w:val="both"/>
      </w:pPr>
      <w:r>
        <w:rPr>
          <w:rFonts w:ascii="Times New Roman" w:cs="Times New Roman" w:eastAsia="Times New Roman" w:hAnsi="Times New Roman"/>
          <w:sz w:val="24"/>
          <w:szCs w:val="24"/>
        </w:rPr>
        <w:t xml:space="preserve">This study used a descriptive applied research design, which aims to produce a practical solution to a specific problem using existing knowledge (de Mello &amp; Wood, 2019), with a mixed-methods approach. The qualitative strand consisted of consultations with representatives of the BPLO, OSCA, PDAO, and food service establishments and a review of Republic Acts 9994, 10754, and 10173. The quantitative strand consisted of survey questionnaires. iDetect was developed following the Agile methodology, organized into sprint cycles that each ended with a review, testing, and a stakeholder demonstration.</w:t>
      </w:r>
    </w:p>
    <w:p>
      <w:pPr>
        <w:spacing w:after="0" w:line="240"/>
        <w:ind w:firstLine="720"/>
        <w:jc w:val="both"/>
      </w:pPr>
      <w:r>
        <w:rPr>
          <w:rFonts w:ascii="Times New Roman" w:cs="Times New Roman" w:eastAsia="Times New Roman" w:hAnsi="Times New Roman"/>
          <w:sz w:val="24"/>
          <w:szCs w:val="24"/>
        </w:rPr>
        <w:t xml:space="preserve">The respondents were 37 evaluators of the system: 3 IT Experts, 20 Business Establishment Staff, 4 OSCA and PDAO Personnel, and 10 Beneficiaries (five Senior Citizens and five PWDs). The survey of the BPLO Personnel has not been completed and is not included.</w:t>
      </w:r>
    </w:p>
    <w:p>
      <w:pPr>
        <w:spacing w:after="0" w:line="240"/>
        <w:ind w:firstLine="720"/>
        <w:jc w:val="both"/>
      </w:pPr>
      <w:r>
        <w:rPr>
          <w:rFonts w:ascii="Times New Roman" w:cs="Times New Roman" w:eastAsia="Times New Roman" w:hAnsi="Times New Roman"/>
          <w:sz w:val="24"/>
          <w:szCs w:val="24"/>
        </w:rPr>
        <w:t xml:space="preserve">The questionnaires were developed by the research team and validated by the researchers’ adviser. They covered 27 sub-qualities under the nine ISO/IEC 25010 quality characteristics and feature-based statements specific to each group’s portal. Items used a four-point Likert scale (4 = Strongly Agree, 3 = Agree, 2 = Disagree, 1 = Strongly Disagree), which has no neutral midpoint. The weighted mean was computed as Σfx/N and interpreted as High (3.01–4.00), Moderate (2.01–3.00), or Low (1.00–2.00).</w:t>
      </w:r>
    </w:p>
    <w:p>
      <w:pPr>
        <w:spacing w:after="0" w:line="240"/>
        <w:ind w:firstLine="720"/>
        <w:jc w:val="both"/>
      </w:pPr>
      <w:r>
        <w:rPr>
          <w:rFonts w:ascii="Times New Roman" w:cs="Times New Roman" w:eastAsia="Times New Roman" w:hAnsi="Times New Roman"/>
          <w:sz w:val="24"/>
          <w:szCs w:val="24"/>
        </w:rPr>
        <w:t xml:space="preserve">Participation was voluntary, and respondents were informed of the purpose of the study and gave consent. Name disclosure was optional, no other personally identifiable information was collected, and completed questionnaires were stored securely and accessed only by the research team, in accordance with RA 10173.</w:t>
      </w:r>
    </w:p>
    <w:p>
      <w:pPr>
        <w:spacing w:after="0" w:line="240"/>
      </w:pPr>
      <w:r>
        <w:rPr>
          <w:rFonts w:ascii="Times New Roman" w:cs="Times New Roman" w:eastAsia="Times New Roman" w:hAnsi="Times New Roman"/>
          <w:sz w:val="24"/>
          <w:szCs w:val="24"/>
        </w:rPr>
        <w:t xml:space="preserve"/>
      </w:r>
    </w:p>
    <w:p>
      <w:pPr>
        <w:keepNext/>
        <w:spacing w:after="0" w:before="0" w:line="240"/>
        <w:jc w:val="left"/>
      </w:pPr>
      <w:r>
        <w:rPr>
          <w:rFonts w:ascii="Times New Roman" w:cs="Times New Roman" w:eastAsia="Times New Roman" w:hAnsi="Times New Roman"/>
          <w:b/>
          <w:bCs/>
          <w:sz w:val="24"/>
          <w:szCs w:val="24"/>
        </w:rPr>
        <w:t xml:space="preserve">RESULTS AND DISCUSSION</w:t>
      </w:r>
    </w:p>
    <w:p>
      <w:pPr>
        <w:spacing w:after="0" w:line="240"/>
      </w:pPr>
      <w:r>
        <w:rPr>
          <w:rFonts w:ascii="Times New Roman" w:cs="Times New Roman" w:eastAsia="Times New Roman" w:hAnsi="Times New Roman"/>
          <w:sz w:val="24"/>
          <w:szCs w:val="24"/>
        </w:rPr>
        <w:t xml:space="preserve"/>
      </w:r>
    </w:p>
    <w:p>
      <w:pPr>
        <w:keepNext/>
        <w:spacing w:after="0" w:before="120" w:line="240"/>
        <w:ind w:left="360" w:hanging="360"/>
        <w:jc w:val="both"/>
      </w:pPr>
      <w:r>
        <w:rPr>
          <w:rFonts w:ascii="Times New Roman" w:cs="Times New Roman" w:eastAsia="Times New Roman" w:hAnsi="Times New Roman"/>
          <w:b/>
          <w:bCs/>
          <w:sz w:val="24"/>
          <w:szCs w:val="24"/>
        </w:rPr>
        <w:t xml:space="preserve">1.	Respondent Profile</w:t>
      </w:r>
    </w:p>
    <w:p>
      <w:pPr>
        <w:spacing w:after="0" w:line="240"/>
        <w:ind w:firstLine="720"/>
        <w:jc w:val="both"/>
      </w:pPr>
      <w:r>
        <w:rPr>
          <w:rFonts w:ascii="Times New Roman" w:cs="Times New Roman" w:eastAsia="Times New Roman" w:hAnsi="Times New Roman"/>
          <w:sz w:val="24"/>
          <w:szCs w:val="24"/>
        </w:rPr>
        <w:t xml:space="preserve">Business Establishment Staff were the largest group of respondents, followed by the Beneficiaries, the OSCA/PDAO Personnel, and the IT Experts (Table 1). Because the IT Experts and the OSCA/PDAO groups are small, each respondent accounts for a large share of the group’s ratings, and their results should be read with caution.</w:t>
      </w:r>
    </w:p>
    <w:p>
      <w:pPr>
        <w:keepNext/>
        <w:spacing w:after="0" w:before="120" w:line="240"/>
      </w:pPr>
      <w:r>
        <w:rPr>
          <w:rFonts w:ascii="Times New Roman" w:cs="Times New Roman" w:eastAsia="Times New Roman" w:hAnsi="Times New Roman"/>
          <w:b/>
          <w:bCs/>
          <w:sz w:val="24"/>
          <w:szCs w:val="24"/>
        </w:rPr>
        <w:t xml:space="preserve">Table 1</w:t>
      </w:r>
    </w:p>
    <w:p>
      <w:pPr>
        <w:keepNext/>
        <w:spacing w:after="60" w:line="240"/>
        <w:jc w:val="both"/>
      </w:pPr>
      <w:r>
        <w:rPr>
          <w:rFonts w:ascii="Times New Roman" w:cs="Times New Roman" w:eastAsia="Times New Roman" w:hAnsi="Times New Roman"/>
          <w:i/>
          <w:iCs/>
          <w:sz w:val="24"/>
          <w:szCs w:val="24"/>
        </w:rPr>
        <w:t xml:space="preserve">Respondents of the Study</w:t>
      </w:r>
    </w:p>
    <w:tbl>
      <w:tblPr>
        <w:tblW w:type="dxa" w:w="4326"/>
        <w:tblBorders>
          <w:top w:val="single" w:color="auto" w:sz="4"/>
          <w:left w:val="single" w:color="auto" w:sz="4"/>
          <w:bottom w:val="single" w:color="auto" w:sz="4"/>
          <w:right w:val="single" w:color="auto" w:sz="4"/>
          <w:insideH w:val="single" w:color="auto" w:sz="4"/>
          <w:insideV w:val="single" w:color="auto" w:sz="4"/>
        </w:tblBorders>
      </w:tblPr>
      <w:tblGrid>
        <w:gridCol w:w="3000"/>
        <w:gridCol w:w="1326"/>
      </w:tblGrid>
      <w:tr>
        <w:trPr>
          <w:tblHeader/>
        </w:trPr>
        <w:tc>
          <w:tcPr>
            <w:tcW w:type="dxa" w:w="3000"/>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bCs/>
                <w:sz w:val="16"/>
                <w:szCs w:val="16"/>
              </w:rPr>
              <w:t xml:space="preserve">Respondent Group</w:t>
            </w:r>
          </w:p>
        </w:tc>
        <w:tc>
          <w:tcPr>
            <w:tcW w:type="dxa" w:w="1326"/>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n</w:t>
            </w:r>
          </w:p>
        </w:tc>
      </w:tr>
      <w:tr>
        <w:trPr>
          <w:cantSplit/>
        </w:trPr>
        <w:tc>
          <w:tcPr>
            <w:tcW w:type="dxa" w:w="30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IT Experts</w:t>
            </w:r>
          </w:p>
        </w:tc>
        <w:tc>
          <w:tcPr>
            <w:tcW w:type="dxa" w:w="132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w:t>
            </w:r>
          </w:p>
        </w:tc>
      </w:tr>
      <w:tr>
        <w:trPr>
          <w:cantSplit/>
        </w:trPr>
        <w:tc>
          <w:tcPr>
            <w:tcW w:type="dxa" w:w="30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Business Establishment Staff</w:t>
            </w:r>
          </w:p>
        </w:tc>
        <w:tc>
          <w:tcPr>
            <w:tcW w:type="dxa" w:w="132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20</w:t>
            </w:r>
          </w:p>
        </w:tc>
      </w:tr>
      <w:tr>
        <w:trPr>
          <w:cantSplit/>
        </w:trPr>
        <w:tc>
          <w:tcPr>
            <w:tcW w:type="dxa" w:w="30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OSCA/PDAO Personnel (OSCA = 2, PDAO = 2)</w:t>
            </w:r>
          </w:p>
        </w:tc>
        <w:tc>
          <w:tcPr>
            <w:tcW w:type="dxa" w:w="132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4</w:t>
            </w:r>
          </w:p>
        </w:tc>
      </w:tr>
      <w:tr>
        <w:trPr>
          <w:cantSplit/>
        </w:trPr>
        <w:tc>
          <w:tcPr>
            <w:tcW w:type="dxa" w:w="30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Beneficiaries (Senior Citizens = 5, PWDs = 5)</w:t>
            </w:r>
          </w:p>
        </w:tc>
        <w:tc>
          <w:tcPr>
            <w:tcW w:type="dxa" w:w="132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10</w:t>
            </w:r>
          </w:p>
        </w:tc>
      </w:tr>
      <w:tr>
        <w:trPr>
          <w:cantSplit/>
        </w:trPr>
        <w:tc>
          <w:tcPr>
            <w:tcW w:type="dxa" w:w="3000"/>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bCs/>
                <w:sz w:val="16"/>
                <w:szCs w:val="16"/>
              </w:rPr>
              <w:t xml:space="preserve">Total</w:t>
            </w:r>
          </w:p>
        </w:tc>
        <w:tc>
          <w:tcPr>
            <w:tcW w:type="dxa" w:w="1326"/>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37</w:t>
            </w:r>
          </w:p>
        </w:tc>
      </w:tr>
    </w:tbl>
    <w:p>
      <w:pPr>
        <w:spacing w:after="120" w:before="30" w:line="240"/>
        <w:jc w:val="both"/>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The BPLO Personnel survey is not yet completed and is not included.</w:t>
      </w:r>
    </w:p>
    <w:p>
      <w:pPr>
        <w:keepNext/>
        <w:spacing w:after="0" w:before="120" w:line="240"/>
        <w:ind w:left="360" w:hanging="360"/>
        <w:jc w:val="both"/>
      </w:pPr>
      <w:r>
        <w:rPr>
          <w:rFonts w:ascii="Times New Roman" w:cs="Times New Roman" w:eastAsia="Times New Roman" w:hAnsi="Times New Roman"/>
          <w:b/>
          <w:bCs/>
          <w:sz w:val="24"/>
          <w:szCs w:val="24"/>
        </w:rPr>
        <w:t xml:space="preserve">2.	ISO/IEC 25010 Quality of iDetect</w:t>
      </w:r>
    </w:p>
    <w:p>
      <w:pPr>
        <w:spacing w:after="0" w:line="240"/>
        <w:ind w:firstLine="720"/>
        <w:jc w:val="both"/>
      </w:pPr>
      <w:r>
        <w:rPr>
          <w:rFonts w:ascii="Times New Roman" w:cs="Times New Roman" w:eastAsia="Times New Roman" w:hAnsi="Times New Roman"/>
          <w:sz w:val="24"/>
          <w:szCs w:val="24"/>
        </w:rPr>
        <w:t xml:space="preserve">The overall weighted means of all four groups were High (Table 2): OSCA/PDAO Personnel (3.89), Business Establishment Staff (3.78), Beneficiaries (3.43), and IT Experts (3.22). No group gave a Low rating to any sub-quality or feature.</w:t>
      </w:r>
    </w:p>
    <w:p>
      <w:pPr>
        <w:keepNext/>
        <w:spacing w:after="0" w:before="120" w:line="240"/>
      </w:pPr>
      <w:r>
        <w:rPr>
          <w:rFonts w:ascii="Times New Roman" w:cs="Times New Roman" w:eastAsia="Times New Roman" w:hAnsi="Times New Roman"/>
          <w:b/>
          <w:bCs/>
          <w:sz w:val="24"/>
          <w:szCs w:val="24"/>
        </w:rPr>
        <w:t xml:space="preserve">Table 2</w:t>
      </w:r>
    </w:p>
    <w:p>
      <w:pPr>
        <w:keepNext/>
        <w:spacing w:after="60" w:line="240"/>
        <w:jc w:val="both"/>
      </w:pPr>
      <w:r>
        <w:rPr>
          <w:rFonts w:ascii="Times New Roman" w:cs="Times New Roman" w:eastAsia="Times New Roman" w:hAnsi="Times New Roman"/>
          <w:i/>
          <w:iCs/>
          <w:sz w:val="24"/>
          <w:szCs w:val="24"/>
        </w:rPr>
        <w:t xml:space="preserve">Weighted Mean per ISO/IEC 25010 Quality Characteristic and Feature-Based Statements by Respondent Group</w:t>
      </w:r>
    </w:p>
    <w:tbl>
      <w:tblPr>
        <w:tblW w:type="dxa" w:w="4324"/>
        <w:tblBorders>
          <w:top w:val="single" w:color="auto" w:sz="4"/>
          <w:left w:val="single" w:color="auto" w:sz="4"/>
          <w:bottom w:val="single" w:color="auto" w:sz="4"/>
          <w:right w:val="single" w:color="auto" w:sz="4"/>
          <w:insideH w:val="single" w:color="auto" w:sz="4"/>
          <w:insideV w:val="single" w:color="auto" w:sz="4"/>
        </w:tblBorders>
      </w:tblPr>
      <w:tblGrid>
        <w:gridCol w:w="1900"/>
        <w:gridCol w:w="606"/>
        <w:gridCol w:w="606"/>
        <w:gridCol w:w="606"/>
        <w:gridCol w:w="606"/>
      </w:tblGrid>
      <w:tr>
        <w:trPr>
          <w:tblHeader/>
        </w:trPr>
        <w:tc>
          <w:tcPr>
            <w:tcW w:type="dxa" w:w="1900"/>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bCs/>
                <w:sz w:val="16"/>
                <w:szCs w:val="16"/>
              </w:rPr>
              <w:t xml:space="preserve">Characteristic</w:t>
            </w:r>
          </w:p>
        </w:tc>
        <w:tc>
          <w:tcPr>
            <w:tcW w:type="dxa" w:w="606"/>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ITE</w:t>
            </w:r>
          </w:p>
        </w:tc>
        <w:tc>
          <w:tcPr>
            <w:tcW w:type="dxa" w:w="606"/>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BES</w:t>
            </w:r>
          </w:p>
        </w:tc>
        <w:tc>
          <w:tcPr>
            <w:tcW w:type="dxa" w:w="606"/>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OP</w:t>
            </w:r>
          </w:p>
        </w:tc>
        <w:tc>
          <w:tcPr>
            <w:tcW w:type="dxa" w:w="606"/>
            <w:tcBorders>
              <w:top w:val="single" w:color="000000" w:sz="6"/>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BEN</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Functional Suitability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3.56</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3.92</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3.37</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Performance Efficiency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3.50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3.88</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3.35</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Compatibility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3.00*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3.85</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3.88</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3.60</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Interaction Capability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3.22</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3.86</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3.83</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3.43</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Reliability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3.00*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3.75</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3.20</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Security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3.07</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3.76</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4.00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3.54</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Maintainability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3.00*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3.75</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3.50</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Flexibility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3.44</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3.75</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4.00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3.47</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val="false"/>
                <w:bCs w:val="false"/>
                <w:sz w:val="16"/>
                <w:szCs w:val="16"/>
              </w:rPr>
              <w:t xml:space="preserve">Safety</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3.33</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3.80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4.00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val="false"/>
                <w:bCs w:val="false"/>
                <w:sz w:val="16"/>
                <w:szCs w:val="16"/>
              </w:rPr>
              <w:t xml:space="preserve">3.30</w:t>
            </w:r>
          </w:p>
        </w:tc>
      </w:tr>
      <w:tr>
        <w:trPr>
          <w:cantSplit/>
        </w:trPr>
        <w:tc>
          <w:tcPr>
            <w:tcW w:type="dxa" w:w="1900"/>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bCs/>
                <w:sz w:val="16"/>
                <w:szCs w:val="16"/>
              </w:rPr>
              <w:t xml:space="preserve">Overall (ISO/IEC 25010)</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3.22</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3.78</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3.89</w:t>
            </w:r>
          </w:p>
        </w:tc>
        <w:tc>
          <w:tcPr>
            <w:tcW w:type="dxa" w:w="606"/>
            <w:tcBorders>
              <w:top w:val="none" w:color="FFFFFF" w:sz="0"/>
              <w:left w:val="none" w:color="FFFFFF" w:sz="0"/>
              <w:bottom w:val="single" w:color="BFBFBF" w:sz="2"/>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3.43</w:t>
            </w:r>
          </w:p>
        </w:tc>
      </w:tr>
      <w:tr>
        <w:trPr>
          <w:cantSplit/>
        </w:trPr>
        <w:tc>
          <w:tcPr>
            <w:tcW w:type="dxa" w:w="1900"/>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left"/>
            </w:pPr>
            <w:r>
              <w:rPr>
                <w:rFonts w:ascii="Times New Roman" w:cs="Times New Roman" w:eastAsia="Times New Roman" w:hAnsi="Times New Roman"/>
                <w:b/>
                <w:bCs/>
                <w:sz w:val="16"/>
                <w:szCs w:val="16"/>
              </w:rPr>
              <w:t xml:space="preserve">Feature-based (overall)</w:t>
            </w:r>
          </w:p>
        </w:tc>
        <w:tc>
          <w:tcPr>
            <w:tcW w:type="dxa" w:w="606"/>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3.11</w:t>
            </w:r>
          </w:p>
        </w:tc>
        <w:tc>
          <w:tcPr>
            <w:tcW w:type="dxa" w:w="606"/>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3.78</w:t>
            </w:r>
          </w:p>
        </w:tc>
        <w:tc>
          <w:tcPr>
            <w:tcW w:type="dxa" w:w="606"/>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4.00</w:t>
            </w:r>
          </w:p>
        </w:tc>
        <w:tc>
          <w:tcPr>
            <w:tcW w:type="dxa" w:w="606"/>
            <w:tcBorders>
              <w:top w:val="none" w:color="FFFFFF" w:sz="0"/>
              <w:left w:val="none" w:color="FFFFFF" w:sz="0"/>
              <w:bottom w:val="single" w:color="000000" w:sz="6"/>
              <w:right w:val="none" w:color="FFFFFF" w:sz="0"/>
            </w:tcBorders>
            <w:tcMar>
              <w:top w:type="dxa" w:w="15"/>
              <w:left w:type="dxa" w:w="40"/>
              <w:bottom w:type="dxa" w:w="15"/>
              <w:right w:type="dxa" w:w="40"/>
            </w:tcMar>
            <w:vAlign w:val="center"/>
          </w:tcPr>
          <w:p>
            <w:pPr>
              <w:spacing w:after="0" w:line="240"/>
              <w:jc w:val="center"/>
            </w:pPr>
            <w:r>
              <w:rPr>
                <w:rFonts w:ascii="Times New Roman" w:cs="Times New Roman" w:eastAsia="Times New Roman" w:hAnsi="Times New Roman"/>
                <w:b/>
                <w:bCs/>
                <w:sz w:val="16"/>
                <w:szCs w:val="16"/>
              </w:rPr>
              <w:t xml:space="preserve">3.34</w:t>
            </w:r>
          </w:p>
        </w:tc>
      </w:tr>
    </w:tbl>
    <w:p>
      <w:pPr>
        <w:spacing w:after="120" w:before="30" w:line="240"/>
        <w:jc w:val="both"/>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ITE = IT Experts (n = 3); BES = Business Establishment Staff (n = 20); OP = OSCA/PDAO Personnel (n = 4); BEN = Beneficiaries (n = 10). *Moderate (2.01–3.00); all other means are High (3.01–4.00).</w:t>
      </w:r>
    </w:p>
    <w:p>
      <w:pPr>
        <w:spacing w:after="0" w:line="240"/>
        <w:ind w:firstLine="720"/>
        <w:jc w:val="both"/>
      </w:pPr>
      <w:r>
        <w:rPr>
          <w:rFonts w:ascii="Times New Roman" w:cs="Times New Roman" w:eastAsia="Times New Roman" w:hAnsi="Times New Roman"/>
          <w:sz w:val="24"/>
          <w:szCs w:val="24"/>
        </w:rPr>
        <w:t xml:space="preserve">The Business Establishment Staff rated all 27 sub-qualities High (3.55–3.95). User Error Protection was highest (3.95), followed by Learnability and Operability (3.90 each), and Interaction Capability had the highest characteristic mean (3.86). This suggests that the staff found the system easy to learn and use and helpful in avoiding mistakes when checking IDs, which is the main use of the Client Portal. Their feature ratings were also High, with secure login with guided ID capture and results displayed within 30 seconds both at 3.85.</w:t>
      </w:r>
    </w:p>
    <w:p>
      <w:pPr>
        <w:spacing w:after="0" w:line="240"/>
        <w:ind w:firstLine="720"/>
        <w:jc w:val="both"/>
      </w:pPr>
      <w:r>
        <w:rPr>
          <w:rFonts w:ascii="Times New Roman" w:cs="Times New Roman" w:eastAsia="Times New Roman" w:hAnsi="Times New Roman"/>
          <w:sz w:val="24"/>
          <w:szCs w:val="24"/>
        </w:rPr>
        <w:t xml:space="preserve">The OSCA/PDAO Personnel rated 16 of the 27 sub-qualities at the maximum of 4.00, with Security, Flexibility, and Safety each at 4.00, and rated all three portal features at 4.00. The Beneficiaries rated 25 sub-qualities High and 2 Moderate (Recoverability and User Error Protection, both 3.00). They rated Non-Repudiation and Authenticity highest (3.80) and instant SMS and push notifications highest among the features (3.60).</w:t>
      </w:r>
    </w:p>
    <w:p>
      <w:pPr>
        <w:spacing w:after="0" w:line="240"/>
        <w:ind w:firstLine="720"/>
        <w:jc w:val="both"/>
      </w:pPr>
      <w:r>
        <w:rPr>
          <w:rFonts w:ascii="Times New Roman" w:cs="Times New Roman" w:eastAsia="Times New Roman" w:hAnsi="Times New Roman"/>
          <w:sz w:val="24"/>
          <w:szCs w:val="24"/>
        </w:rPr>
        <w:t xml:space="preserve">The IT Experts gave the lowest overall mean, rating 17 sub-qualities High and 10 Moderate. Time Behaviour was highest (4.00), while Confidentiality was lowest (2.33), followed by Integrity, Recoverability, and Analyzability (2.67 each). Among the features, the organization of the system into connected components was rated highest (3.67), while role-based access control (3.00) and audit records (2.67) were Moderate.</w:t>
      </w:r>
    </w:p>
    <w:p>
      <w:pPr>
        <w:keepNext/>
        <w:spacing w:after="0" w:before="120" w:line="240"/>
        <w:ind w:left="360" w:hanging="360"/>
        <w:jc w:val="both"/>
      </w:pPr>
      <w:r>
        <w:rPr>
          <w:rFonts w:ascii="Times New Roman" w:cs="Times New Roman" w:eastAsia="Times New Roman" w:hAnsi="Times New Roman"/>
          <w:b/>
          <w:bCs/>
          <w:sz w:val="24"/>
          <w:szCs w:val="24"/>
        </w:rPr>
        <w:t xml:space="preserve">3.	Implications for the Research Questions</w:t>
      </w:r>
    </w:p>
    <w:p>
      <w:pPr>
        <w:spacing w:after="0" w:line="240"/>
        <w:ind w:firstLine="720"/>
        <w:jc w:val="both"/>
      </w:pPr>
      <w:r>
        <w:rPr>
          <w:rFonts w:ascii="Times New Roman" w:cs="Times New Roman" w:eastAsia="Times New Roman" w:hAnsi="Times New Roman"/>
          <w:sz w:val="24"/>
          <w:szCs w:val="24"/>
        </w:rPr>
        <w:t xml:space="preserve">The respondents rated Time Behaviour at 4.00 (IT Experts), 3.85 (Business Establishment Staff), 3.75 (OSCA/PDAO Personnel), and 3.40 (Beneficiaries), which suggests that they found the OCR-based validation fast enough for counter use, in line with the capabilities of OCR reported by Liu et al. (2022). The evaluation, however, recorded perceptions rather than measured transaction times.</w:t>
      </w:r>
    </w:p>
    <w:p>
      <w:pPr>
        <w:spacing w:after="0" w:line="240"/>
        <w:ind w:firstLine="720"/>
        <w:jc w:val="both"/>
      </w:pPr>
      <w:r>
        <w:rPr>
          <w:rFonts w:ascii="Times New Roman" w:cs="Times New Roman" w:eastAsia="Times New Roman" w:hAnsi="Times New Roman"/>
          <w:sz w:val="24"/>
          <w:szCs w:val="24"/>
        </w:rPr>
        <w:t xml:space="preserve">One-tap flagging with automatic fraud-status updates was rated 3.75 by the Business Establishment Staff, and real-time flag notifications with fraud marking were rated 4.00 by the OSCA/PDAO Personnel. These ratings suggest that the respondents accept the bidirectional reporting that distinguishes iDetect from one-way tools, consistent with the value of coordinated intelligence sharing described by Protecht Group (2025). The actual reduction in fraudulent discounts was not measured.</w:t>
      </w:r>
    </w:p>
    <w:p>
      <w:pPr>
        <w:spacing w:after="0" w:line="240"/>
        <w:ind w:firstLine="720"/>
        <w:jc w:val="both"/>
      </w:pPr>
      <w:r>
        <w:rPr>
          <w:rFonts w:ascii="Times New Roman" w:cs="Times New Roman" w:eastAsia="Times New Roman" w:hAnsi="Times New Roman"/>
          <w:sz w:val="24"/>
          <w:szCs w:val="24"/>
        </w:rPr>
        <w:t xml:space="preserve">Security was rated High by all groups (3.07 to 4.00), and the OSCA/PDAO Personnel rated access restricted to their own beneficiary records at 4.00. The Beneficiaries valued the notification, reporting, and dispute-tracking features (3.60, 3.40, and 3.30). Nevertheless, the IT Experts’ lower ratings for Confidentiality, Integrity, access control, and audit records show that security and traceability need further work to fully support compliance with RA 10173. Recoverability was the only sub-quality rated Moderate by two groups (2.67 and 3.00) and may be the most worth reviewing.</w:t>
      </w:r>
    </w:p>
    <w:p>
      <w:pPr>
        <w:spacing w:after="0" w:line="240"/>
      </w:pPr>
      <w:r>
        <w:rPr>
          <w:rFonts w:ascii="Times New Roman" w:cs="Times New Roman" w:eastAsia="Times New Roman" w:hAnsi="Times New Roman"/>
          <w:sz w:val="24"/>
          <w:szCs w:val="24"/>
        </w:rPr>
        <w:t xml:space="preserve"/>
      </w:r>
    </w:p>
    <w:p>
      <w:pPr>
        <w:keepNext/>
        <w:spacing w:after="0" w:before="0" w:line="240"/>
        <w:jc w:val="left"/>
      </w:pPr>
      <w:r>
        <w:rPr>
          <w:rFonts w:ascii="Times New Roman" w:cs="Times New Roman" w:eastAsia="Times New Roman" w:hAnsi="Times New Roman"/>
          <w:b/>
          <w:bCs/>
          <w:sz w:val="24"/>
          <w:szCs w:val="24"/>
        </w:rPr>
        <w:t xml:space="preserve">CONCLUSION</w:t>
      </w:r>
    </w:p>
    <w:p>
      <w:pPr>
        <w:spacing w:after="0" w:line="240"/>
      </w:pPr>
      <w:r>
        <w:rPr>
          <w:rFonts w:ascii="Times New Roman" w:cs="Times New Roman" w:eastAsia="Times New Roman" w:hAnsi="Times New Roman"/>
          <w:sz w:val="24"/>
          <w:szCs w:val="24"/>
        </w:rPr>
        <w:t xml:space="preserve"/>
      </w:r>
    </w:p>
    <w:p>
      <w:pPr>
        <w:spacing w:after="0" w:line="240"/>
        <w:ind w:firstLine="720"/>
        <w:jc w:val="both"/>
      </w:pPr>
      <w:r>
        <w:rPr>
          <w:rFonts w:ascii="Times New Roman" w:cs="Times New Roman" w:eastAsia="Times New Roman" w:hAnsi="Times New Roman"/>
          <w:sz w:val="24"/>
          <w:szCs w:val="24"/>
        </w:rPr>
        <w:t xml:space="preserve">In conclusion, all four respondent groups rated iDetect within the High range, with overall weighted means of 3.22 to 3.89 for the ISO/IEC 25010 quality characteristics and 3.11 to 4.00 for the feature-based statements. The results indicate that iDetect was perceived as a functional, usable, and acceptable solution for validating Senior Citizen and PWD identification cards in food service establishments in Valenzuela City.</w:t>
      </w:r>
    </w:p>
    <w:p>
      <w:pPr>
        <w:spacing w:after="0" w:line="240"/>
        <w:ind w:firstLine="720"/>
        <w:jc w:val="both"/>
      </w:pPr>
      <w:r>
        <w:rPr>
          <w:rFonts w:ascii="Times New Roman" w:cs="Times New Roman" w:eastAsia="Times New Roman" w:hAnsi="Times New Roman"/>
          <w:sz w:val="24"/>
          <w:szCs w:val="24"/>
        </w:rPr>
        <w:t xml:space="preserve">The lowest ratings concerned security and traceability (Confidentiality, Integrity, access control, and audit logging), Recoverability, and User Error Protection. The findings are based on perceptions only and are preliminary because the IT Expert and OSCA/PDAO groups are small and the BPLO survey is pending.</w:t>
      </w:r>
    </w:p>
    <w:p>
      <w:pPr>
        <w:spacing w:after="0" w:line="240"/>
      </w:pPr>
      <w:r>
        <w:rPr>
          <w:rFonts w:ascii="Times New Roman" w:cs="Times New Roman" w:eastAsia="Times New Roman" w:hAnsi="Times New Roman"/>
          <w:sz w:val="24"/>
          <w:szCs w:val="24"/>
        </w:rPr>
        <w:t xml:space="preserve"/>
      </w:r>
    </w:p>
    <w:p>
      <w:pPr>
        <w:keepNext/>
        <w:spacing w:after="0" w:before="0" w:line="240"/>
        <w:jc w:val="left"/>
      </w:pPr>
      <w:r>
        <w:rPr>
          <w:rFonts w:ascii="Times New Roman" w:cs="Times New Roman" w:eastAsia="Times New Roman" w:hAnsi="Times New Roman"/>
          <w:b/>
          <w:bCs/>
          <w:sz w:val="24"/>
          <w:szCs w:val="24"/>
        </w:rPr>
        <w:t xml:space="preserve">RECOMMENDATIONS</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keepNext/>
        <w:spacing w:after="0" w:before="0" w:line="240"/>
        <w:jc w:val="left"/>
      </w:pPr>
      <w:r>
        <w:rPr>
          <w:rFonts w:ascii="Times New Roman" w:cs="Times New Roman" w:eastAsia="Times New Roman" w:hAnsi="Times New Roman"/>
          <w:b/>
          <w:bCs/>
          <w:sz w:val="24"/>
          <w:szCs w:val="24"/>
        </w:rPr>
        <w:t xml:space="preserve">REFERENCES</w:t>
      </w:r>
    </w:p>
    <w:p>
      <w:pPr>
        <w:spacing w:after="0" w:line="240"/>
      </w:pPr>
      <w:r>
        <w:rPr>
          <w:rFonts w:ascii="Times New Roman" w:cs="Times New Roman" w:eastAsia="Times New Roman" w:hAnsi="Times New Roman"/>
          <w:sz w:val="24"/>
          <w:szCs w:val="24"/>
        </w:rPr>
        <w:t xml:space="preserve"/>
      </w:r>
    </w:p>
    <w:p>
      <w:pPr>
        <w:spacing w:after="120" w:line="240"/>
        <w:ind w:left="720" w:hanging="720"/>
      </w:pPr>
      <w:r>
        <w:rPr>
          <w:rFonts w:ascii="Times New Roman" w:cs="Times New Roman" w:eastAsia="Times New Roman" w:hAnsi="Times New Roman"/>
          <w:sz w:val="24"/>
          <w:szCs w:val="24"/>
        </w:rPr>
        <w:t xml:space="preserve">Arceo, A. (2024, December 7). With fake PWD IDs on the rise, ‘everybody loses’. </w:t>
      </w:r>
      <w:r>
        <w:rPr>
          <w:rFonts w:ascii="Times New Roman" w:cs="Times New Roman" w:eastAsia="Times New Roman" w:hAnsi="Times New Roman"/>
          <w:i/>
          <w:iCs/>
          <w:sz w:val="24"/>
          <w:szCs w:val="24"/>
        </w:rPr>
        <w:t xml:space="preserve">Rappler</w:t>
      </w:r>
      <w:r>
        <w:rPr>
          <w:rFonts w:ascii="Times New Roman" w:cs="Times New Roman" w:eastAsia="Times New Roman" w:hAnsi="Times New Roman"/>
          <w:sz w:val="24"/>
          <w:szCs w:val="24"/>
        </w:rPr>
        <w:t xml:space="preserve">. https://www.rappler.com/newsbreak/in-depth/increase-fake-person-with-disability-ids-philippines</w:t>
      </w:r>
    </w:p>
    <w:p>
      <w:pPr>
        <w:spacing w:after="120" w:line="240"/>
        <w:ind w:left="720" w:hanging="720"/>
      </w:pPr>
      <w:r>
        <w:rPr>
          <w:rFonts w:ascii="Times New Roman" w:cs="Times New Roman" w:eastAsia="Times New Roman" w:hAnsi="Times New Roman"/>
          <w:sz w:val="24"/>
          <w:szCs w:val="24"/>
        </w:rPr>
        <w:t xml:space="preserve">Bordey, H. (2024, December 5). Fake PWD IDs lost gov’t ₱88 billion in taxes in 2023—Gatchalian. </w:t>
      </w:r>
      <w:r>
        <w:rPr>
          <w:rFonts w:ascii="Times New Roman" w:cs="Times New Roman" w:eastAsia="Times New Roman" w:hAnsi="Times New Roman"/>
          <w:i/>
          <w:iCs/>
          <w:sz w:val="24"/>
          <w:szCs w:val="24"/>
        </w:rPr>
        <w:t xml:space="preserve">GMA News Online</w:t>
      </w:r>
      <w:r>
        <w:rPr>
          <w:rFonts w:ascii="Times New Roman" w:cs="Times New Roman" w:eastAsia="Times New Roman" w:hAnsi="Times New Roman"/>
          <w:sz w:val="24"/>
          <w:szCs w:val="24"/>
        </w:rPr>
        <w:t xml:space="preserve">. https://www.gmanetwork.com</w:t>
      </w:r>
    </w:p>
    <w:p>
      <w:pPr>
        <w:spacing w:after="120" w:line="240"/>
        <w:ind w:left="720" w:hanging="720"/>
      </w:pPr>
      <w:r>
        <w:rPr>
          <w:rFonts w:ascii="Times New Roman" w:cs="Times New Roman" w:eastAsia="Times New Roman" w:hAnsi="Times New Roman"/>
          <w:sz w:val="24"/>
          <w:szCs w:val="24"/>
        </w:rPr>
        <w:t xml:space="preserve">Liu, X., James, A. P., Gupta, R., &amp; Raviv, D. (2022). Machine-readable zone extraction using convolutional neural networks for passport verification. </w:t>
      </w:r>
      <w:r>
        <w:rPr>
          <w:rFonts w:ascii="Times New Roman" w:cs="Times New Roman" w:eastAsia="Times New Roman" w:hAnsi="Times New Roman"/>
          <w:i/>
          <w:iCs/>
          <w:sz w:val="24"/>
          <w:szCs w:val="24"/>
        </w:rPr>
        <w:t xml:space="preserve">IEEE Transactions on Pattern Analysis and Machine Intelligence, 44</w:t>
      </w:r>
      <w:r>
        <w:rPr>
          <w:rFonts w:ascii="Times New Roman" w:cs="Times New Roman" w:eastAsia="Times New Roman" w:hAnsi="Times New Roman"/>
          <w:sz w:val="24"/>
          <w:szCs w:val="24"/>
        </w:rPr>
        <w:t xml:space="preserve">(8), 4521–4535.</w:t>
      </w:r>
    </w:p>
    <w:p>
      <w:pPr>
        <w:spacing w:after="120" w:line="240"/>
        <w:ind w:left="720" w:hanging="720"/>
      </w:pPr>
      <w:r>
        <w:rPr>
          <w:rFonts w:ascii="Times New Roman" w:cs="Times New Roman" w:eastAsia="Times New Roman" w:hAnsi="Times New Roman"/>
          <w:sz w:val="24"/>
          <w:szCs w:val="24"/>
        </w:rPr>
        <w:t xml:space="preserve">Mello, A. M. de, &amp; Thomaz Wood Jr. (2019). What is applied research anyway? </w:t>
      </w:r>
      <w:r>
        <w:rPr>
          <w:rFonts w:ascii="Times New Roman" w:cs="Times New Roman" w:eastAsia="Times New Roman" w:hAnsi="Times New Roman"/>
          <w:i/>
          <w:iCs/>
          <w:sz w:val="24"/>
          <w:szCs w:val="24"/>
        </w:rPr>
        <w:t xml:space="preserve">Revista de Gestão, 26</w:t>
      </w:r>
      <w:r>
        <w:rPr>
          <w:rFonts w:ascii="Times New Roman" w:cs="Times New Roman" w:eastAsia="Times New Roman" w:hAnsi="Times New Roman"/>
          <w:sz w:val="24"/>
          <w:szCs w:val="24"/>
        </w:rPr>
        <w:t xml:space="preserve">(4), 338–339. https://doi.org/10.1108/REGE-10-2019-128</w:t>
      </w:r>
    </w:p>
    <w:p>
      <w:pPr>
        <w:spacing w:after="120" w:line="240"/>
        <w:ind w:left="720" w:hanging="720"/>
      </w:pPr>
      <w:r>
        <w:rPr>
          <w:rFonts w:ascii="Times New Roman" w:cs="Times New Roman" w:eastAsia="Times New Roman" w:hAnsi="Times New Roman"/>
          <w:sz w:val="24"/>
          <w:szCs w:val="24"/>
        </w:rPr>
        <w:t xml:space="preserve">Protecht Group. (2025). </w:t>
      </w:r>
      <w:r>
        <w:rPr>
          <w:rFonts w:ascii="Times New Roman" w:cs="Times New Roman" w:eastAsia="Times New Roman" w:hAnsi="Times New Roman"/>
          <w:i/>
          <w:iCs/>
          <w:sz w:val="24"/>
          <w:szCs w:val="24"/>
        </w:rPr>
        <w:t xml:space="preserve">Comprehensive guide to fraud detection techniques and prevention strategies</w:t>
      </w:r>
      <w:r>
        <w:rPr>
          <w:rFonts w:ascii="Times New Roman" w:cs="Times New Roman" w:eastAsia="Times New Roman" w:hAnsi="Times New Roman"/>
          <w:sz w:val="24"/>
          <w:szCs w:val="24"/>
        </w:rPr>
        <w:t xml:space="preserve">. https://www.protechtgroup.com</w:t>
      </w:r>
    </w:p>
    <w:p>
      <w:pPr>
        <w:sectPr>
          <w:type w:val="nextPage"/>
          <w:pgSz w:w="12240" w:h="18720" w:orient="portrait"/>
          <w:pgMar w:top="1440" w:right="1440" w:bottom="1440" w:left="1440" w:header="706" w:footer="706" w:gutter="0"/>
          <w:pgNumType/>
          <w:cols w:space="708" w:num="2" w:equalWidth="true"/>
          <w:docGrid w:linePitch="360"/>
        </w:sectPr>
      </w:pPr>
    </w:p>
    <w:p>
      <w:pPr>
        <w:spacing w:after="200" w:line="240"/>
      </w:pPr>
      <w:r>
        <w:rPr>
          <w:rFonts w:ascii="Times New Roman" w:cs="Times New Roman" w:eastAsia="Times New Roman" w:hAnsi="Times New Roman"/>
          <w:b/>
          <w:bCs/>
          <w:sz w:val="20"/>
          <w:szCs w:val="20"/>
        </w:rPr>
        <w:t xml:space="preserve">AUTHORSHIP TRANSPARENCY AND ETHICAL REPORTING</w:t>
      </w:r>
    </w:p>
    <w:p>
      <w:pPr>
        <w:spacing w:after="80" w:line="240"/>
      </w:pPr>
      <w:r>
        <w:rPr>
          <w:rFonts w:ascii="Times New Roman" w:cs="Times New Roman" w:eastAsia="Times New Roman" w:hAnsi="Times New Roman"/>
          <w:b/>
          <w:bCs/>
          <w:sz w:val="20"/>
          <w:szCs w:val="20"/>
        </w:rPr>
        <w:t xml:space="preserve">Author Contributions</w:t>
      </w:r>
    </w:p>
    <w:p>
      <w:pPr>
        <w:spacing w:after="200" w:line="240"/>
        <w:jc w:val="both"/>
      </w:pPr>
      <w:r>
        <w:rPr>
          <w:rFonts w:ascii="Times New Roman" w:cs="Times New Roman" w:eastAsia="Times New Roman" w:hAnsi="Times New Roman"/>
          <w:sz w:val="20"/>
          <w:szCs w:val="20"/>
        </w:rPr>
        <w:t xml:space="preserve">Author 1 initials: C.M.D.R.  Author 2 initials: J.M.C.E.  Author 3 initials: V.S.A.M.  Author 4 initials: I.L.C.S.</w:t>
      </w:r>
    </w:p>
    <w:p>
      <w:pPr>
        <w:spacing w:after="200" w:line="240"/>
        <w:jc w:val="both"/>
      </w:pPr>
      <w:r>
        <w:rPr>
          <w:rFonts w:ascii="Times New Roman" w:cs="Times New Roman" w:eastAsia="Times New Roman" w:hAnsi="Times New Roman"/>
          <w:b/>
          <w:bCs/>
          <w:sz w:val="20"/>
          <w:szCs w:val="20"/>
        </w:rPr>
        <w:t xml:space="preserve">Conceptualization: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Software: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Validation: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Formal Analysis: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Data Curation: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Preparation of the original draft: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Drafting-Revision and Editing: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Visualization: </w:t>
      </w:r>
      <w:r>
        <w:rPr>
          <w:rFonts w:ascii="Times New Roman" w:cs="Times New Roman" w:eastAsia="Times New Roman" w:hAnsi="Times New Roman"/>
          <w:sz w:val="20"/>
          <w:szCs w:val="20"/>
        </w:rPr>
        <w:t xml:space="preserve">Carlo M. De los Reyes, Jorich Maricar C. Enoria, Vesti Sahm Angielo Mercado, Ishmael Luis C. Santiago</w:t>
      </w:r>
    </w:p>
    <w:p>
      <w:pPr>
        <w:spacing w:after="200" w:line="240"/>
        <w:jc w:val="both"/>
      </w:pPr>
      <w:r>
        <w:rPr>
          <w:rFonts w:ascii="Times New Roman" w:cs="Times New Roman" w:eastAsia="Times New Roman" w:hAnsi="Times New Roman"/>
          <w:b/>
          <w:bCs/>
          <w:sz w:val="20"/>
          <w:szCs w:val="20"/>
        </w:rPr>
        <w:t xml:space="preserve">Supervision: </w:t>
      </w:r>
      <w:r>
        <w:rPr>
          <w:rFonts w:ascii="Times New Roman" w:cs="Times New Roman" w:eastAsia="Times New Roman" w:hAnsi="Times New Roman"/>
          <w:sz w:val="20"/>
          <w:szCs w:val="20"/>
        </w:rPr>
        <w:t xml:space="preserve">Carlo M. De los Reyes, Jorich Maricar C. Enoria, Vesti Sahm Angielo Mercado, Ishmael Luis C. Santiago</w:t>
      </w:r>
    </w:p>
    <w:sectPr>
      <w:type w:val="nextPage"/>
      <w:pgSz w:w="12240" w:h="18720" w:orient="portrait"/>
      <w:pgMar w:top="1440" w:right="1440" w:bottom="1440" w:left="1440" w:header="706" w:footer="706" w:gutter="0"/>
      <w:pgNumType/>
      <w:cols w:space="70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iDetect IMRaD Research Paper</dc:title>
  <dc:creator>iDetect Research Team</dc:creator>
  <cp:lastModifiedBy>Un-named</cp:lastModifiedBy>
  <cp:revision>1</cp:revision>
  <dcterms:created xsi:type="dcterms:W3CDTF">2026-10-14T08:40:57.900Z</dcterms:created>
  <dcterms:modified xsi:type="dcterms:W3CDTF">2026-10-14T08:40:57.910Z</dcterms:modified>
</cp:coreProperties>
</file>

<file path=docProps/custom.xml><?xml version="1.0" encoding="utf-8"?>
<Properties xmlns="http://schemas.openxmlformats.org/officeDocument/2006/custom-properties" xmlns:vt="http://schemas.openxmlformats.org/officeDocument/2006/docPropsVTypes"/>
</file>