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E74B5"/>
          <w:sz w:val="18"/>
        </w:rPr>
        <w:t>PROJETO PRÁTICO • MÓDULO 1</w:t>
      </w:r>
    </w:p>
    <w:p>
      <w:pPr>
        <w:pStyle w:val="Title"/>
      </w:pPr>
      <w:r>
        <w:t>Avaliação de Caso de Uso de IA para uma Empresa Real</w:t>
      </w:r>
    </w:p>
    <w:p>
      <w:pPr>
        <w:pStyle w:val="Subtitle"/>
      </w:pPr>
      <w:r>
        <w:t>Caso fictício: atendimento ao cliente da VittaShop</w:t>
      </w:r>
    </w:p>
    <w:tbl>
      <w:tblPr>
        <w:tblW w:type="dxa" w:w="10166"/>
        <w:jc w:val="left"/>
        <w:tblLayout w:type="fixed"/>
        <w:tblLook w:firstColumn="1" w:firstRow="1" w:lastColumn="0" w:lastRow="0" w:noHBand="0" w:noVBand="1" w:val="04A0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  <w:tblInd w:w="90" w:type="dxa"/>
      </w:tblPr>
      <w:tblGrid>
        <w:gridCol w:w="1655"/>
        <w:gridCol w:w="8510"/>
      </w:tblGrid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Autor</w:t>
            </w:r>
          </w:p>
        </w:tc>
        <w:tc>
          <w:tcPr>
            <w:tcW w:type="dxa" w:w="8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César Eduardo Carneiro de Aguiar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Natureza</w:t>
            </w:r>
          </w:p>
        </w:tc>
        <w:tc>
          <w:tcPr>
            <w:tcW w:type="dxa" w:w="8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Documento executivo de decisão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Data</w:t>
            </w:r>
          </w:p>
        </w:tc>
        <w:tc>
          <w:tcPr>
            <w:tcW w:type="dxa" w:w="85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Agosto de 2026</w:t>
            </w:r>
          </w:p>
        </w:tc>
      </w:tr>
    </w:tbl>
    <w:p>
      <w:pPr>
        <w:pStyle w:val="Heading1"/>
      </w:pPr>
      <w:r>
        <w:t>1. Contexto do problema</w:t>
      </w:r>
    </w:p>
    <w:p>
      <w:r>
        <w:t>A VittaShop é uma empresa brasileira fictícia de e-commerce de médio porte, com atuação nacional e catálogo de casa, eletrônicos e bem-estar. Para tornar a análise objetiva, adotam-se como premissas acadêmicas 18 mil tickets mensais, equipe de 45 atendentes, tempo médio de primeira resposta de 8 horas e 32% de contatos repetitivos relacionados a rastreamento, troca, prazo, pagamento e reembolso.</w:t>
      </w:r>
    </w:p>
    <w:p>
      <w:pPr>
        <w:pStyle w:val="Heading2"/>
      </w:pPr>
      <w:r>
        <w:t>Problema empresarial</w:t>
      </w:r>
    </w:p>
    <w:p>
      <w:r>
        <w:t>O crescimento do volume de pedidos não foi acompanhado pela capacidade do suporte. A operação depende de leitura manual, classificação e consulta a diferentes fontes. Isso cria filas, respostas inconsistentes, retrabalho e aumento do custo por contato. O problema não é simplesmente “falta de um chatbot”: é a combinação de alto volume repetitivo, linguagem variável, conhecimento disperso e necessidade de julgamento humano nos casos excepcionais.</w:t>
      </w:r>
    </w:p>
    <w:tbl>
      <w:tblPr>
        <w:tblW w:type="dxa" w:w="10166"/>
        <w:jc w:val="left"/>
        <w:tblLayout w:type="fixed"/>
        <w:tblLook w:firstColumn="1" w:firstRow="1" w:lastColumn="0" w:lastRow="0" w:noHBand="0" w:noVBand="1" w:val="04A0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  <w:tblInd w:w="90" w:type="dxa"/>
      </w:tblPr>
      <w:tblGrid>
        <w:gridCol w:w="2376"/>
        <w:gridCol w:w="3528"/>
        <w:gridCol w:w="4262"/>
      </w:tblGrid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Dor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Efeito operacional</w:t>
            </w:r>
          </w:p>
        </w:tc>
        <w:tc>
          <w:tcPr>
            <w:tcW w:type="dxa" w:w="42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Impacto no negócio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Fila e demora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SLA instável e abandono</w:t>
            </w:r>
          </w:p>
        </w:tc>
        <w:tc>
          <w:tcPr>
            <w:tcW w:type="dxa" w:w="42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Menor satisfação e recompra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Chamados repetitivos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Uso de especialistas em tarefas simples</w:t>
            </w:r>
          </w:p>
        </w:tc>
        <w:tc>
          <w:tcPr>
            <w:tcW w:type="dxa" w:w="42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Custo cresce com o volume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Respostas inconsistentes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Retrabalho e escalonamentos</w:t>
            </w:r>
          </w:p>
        </w:tc>
        <w:tc>
          <w:tcPr>
            <w:tcW w:type="dxa" w:w="42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Risco reputacional e regulatório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Triagem manual</w:t>
            </w:r>
          </w:p>
        </w:tc>
        <w:tc>
          <w:tcPr>
            <w:tcW w:type="dxa" w:w="3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Roteamento lento ou incorreto</w:t>
            </w:r>
          </w:p>
        </w:tc>
        <w:tc>
          <w:tcPr>
            <w:tcW w:type="dxa" w:w="42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Maior tempo de resolução</w:t>
            </w:r>
          </w:p>
        </w:tc>
      </w:tr>
    </w:tbl>
    <w:p>
      <w:pPr>
        <w:pStyle w:val="Heading2"/>
      </w:pPr>
      <w:r>
        <w:t>Objetivo e delimitação</w:t>
      </w:r>
    </w:p>
    <w:p>
      <w:r>
        <w:t>Reduzir tempo de resposta, custo operacional e reincidência sem comprometer a qualidade. A primeira etapa abrange dúvidas informacionais e transacionais de baixo risco. Fraude, disputas financeiras, ameaça jurídica, exceções de política e clientes vulneráveis permanecem sob decisão humana.</w:t>
      </w:r>
    </w:p>
    <w:tbl>
      <w:tblPr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  <w:tblBorders>
          <w:top w:val="single" w:sz="7" w:color="2E74B5"/>
          <w:left w:val="single" w:sz="7" w:color="2E74B5"/>
          <w:bottom w:val="single" w:sz="7" w:color="2E74B5"/>
          <w:right w:val="single" w:sz="7" w:color="2E74B5"/>
          <w:insideH w:val="single" w:sz="7" w:color="2E74B5"/>
          <w:insideV w:val="single" w:sz="7" w:color="2E74B5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shd w:fill="EAF1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"/>
            </w:pPr>
            <w:r>
              <w:rPr>
                <w:b/>
              </w:rPr>
              <w:t xml:space="preserve">Decisão executiva: </w:t>
            </w:r>
            <w:r>
              <w:rPr>
                <w:b w:val="0"/>
              </w:rPr>
              <w:t>adotar uma solução híbrida e progressiva: regras para casos determinísticos, classificação para triagem, LLM controlada para compreensão e elaboração de respostas, e atendimento humano nos casos sensíveis ou de baixa confiança.</w:t>
            </w:r>
          </w:p>
        </w:tc>
      </w:tr>
    </w:tbl>
    <w:p>
      <w:r>
        <w:br w:type="page"/>
      </w:r>
    </w:p>
    <w:p>
      <w:pPr>
        <w:pStyle w:val="Heading1"/>
      </w:pPr>
      <w:r>
        <w:t>2. Hipóteses de solução</w:t>
      </w:r>
    </w:p>
    <w:p>
      <w:pPr>
        <w:pStyle w:val="Heading2"/>
      </w:pPr>
      <w:r>
        <w:t>Alternativa A — Automação por regras e FAQ</w:t>
      </w:r>
    </w:p>
    <w:p>
      <w:r>
        <w:t>Fluxos, menus e palavras-chave retornam conteúdo previamente aprovado. É adequada para horário de atendimento, prazos gerais e políticas estáveis. Tem baixo custo e alta previsibilidade, porém degrada quando a linguagem varia e sua manutenção cresce à medida que novos fluxos são adicionados.</w:t>
      </w:r>
    </w:p>
    <w:p>
      <w:pPr>
        <w:pStyle w:val="Heading2"/>
      </w:pPr>
      <w:r>
        <w:t>Alternativa B — ML para classificação de tickets</w:t>
      </w:r>
    </w:p>
    <w:p>
      <w:r>
        <w:t>Um modelo supervisionado identifica intenção, urgência e destino do ticket. Melhora roteamento e priorização, mas depende de histórico rotulado e não resolve sozinho a conversa: após classificar, ainda é necessário responder por conteúdo fixo, LLM ou humano.</w:t>
      </w:r>
    </w:p>
    <w:p>
      <w:pPr>
        <w:pStyle w:val="Heading2"/>
      </w:pPr>
      <w:r>
        <w:t>Alternativa C — Assistente conversacional com LLM</w:t>
      </w:r>
    </w:p>
    <w:p>
      <w:r>
        <w:t>Interpreta linguagem natural e produz respostas contextualizadas a partir de fontes autorizadas. Oferece melhor experiência conversacional e cobre variações semânticas, mas pode inventar informações, interpretar incorretamente políticas, expor dados ou gerar custo imprevisível se operar sem limites.</w:t>
      </w:r>
    </w:p>
    <w:p>
      <w:pPr>
        <w:pStyle w:val="Heading2"/>
      </w:pPr>
      <w:r>
        <w:t>Alternativa D — Modelo híbrido</w:t>
      </w:r>
    </w:p>
    <w:p>
      <w:r>
        <w:t>Combina mecanismos conforme a natureza do caso. Regras tratam o que é estável; classificação identifica intenção e risco; a LLM consulta uma base de conhecimento e redige a resposta; humanos recebem exceções e podem usar a IA como copiloto. A complexidade inicial é maior, mas o risco e o custo podem ser controlados por roteamento.</w:t>
      </w:r>
    </w:p>
    <w:tbl>
      <w:tblPr>
        <w:tblW w:type="dxa" w:w="10166"/>
        <w:jc w:val="left"/>
        <w:tblLayout w:type="fixed"/>
        <w:tblLook w:firstColumn="1" w:firstRow="1" w:lastColumn="0" w:lastRow="0" w:noHBand="0" w:noVBand="1" w:val="04A0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  <w:tblInd w:w="90" w:type="dxa"/>
      </w:tblPr>
      <w:tblGrid>
        <w:gridCol w:w="1728"/>
        <w:gridCol w:w="4104"/>
        <w:gridCol w:w="4334"/>
      </w:tblGrid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Abordagem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Onde funciona melhor</w:t>
            </w:r>
          </w:p>
        </w:tc>
        <w:tc>
          <w:tcPr>
            <w:tcW w:type="dxa" w:w="43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Principal limite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Regras/FAQ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Perguntas simples e políticas estáveis</w:t>
            </w:r>
          </w:p>
        </w:tc>
        <w:tc>
          <w:tcPr>
            <w:tcW w:type="dxa" w:w="43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Baixa adaptação à linguagem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ML tradicional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Triagem, prioridade e roteamento</w:t>
            </w:r>
          </w:p>
        </w:tc>
        <w:tc>
          <w:tcPr>
            <w:tcW w:type="dxa" w:w="43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Exige dados rotulados; não conversa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LLM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Interpretação e resposta contextual</w:t>
            </w:r>
          </w:p>
        </w:tc>
        <w:tc>
          <w:tcPr>
            <w:tcW w:type="dxa" w:w="43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Erro generativo e governança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Híbrida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Operação com casos de naturezas distintas</w:t>
            </w:r>
          </w:p>
        </w:tc>
        <w:tc>
          <w:tcPr>
            <w:tcW w:type="dxa" w:w="43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Integração e disciplina operacional</w:t>
            </w:r>
          </w:p>
        </w:tc>
      </w:tr>
    </w:tbl>
    <w:p>
      <w:pPr>
        <w:pStyle w:val="Heading2"/>
      </w:pPr>
      <w:r>
        <w:t>Análise da natureza do problema</w:t>
      </w:r>
    </w:p>
    <w:p>
      <w:pPr>
        <w:pStyle w:val="ListBullet"/>
        <w:spacing w:after="40"/>
        <w:ind w:left="317" w:hanging="259"/>
      </w:pPr>
      <w:r>
        <w:t>Determinístico em parte: diversas respostas são obtidas diretamente em políticas e dados de pedido.</w:t>
      </w:r>
    </w:p>
    <w:p>
      <w:pPr>
        <w:pStyle w:val="ListBullet"/>
        <w:spacing w:after="40"/>
        <w:ind w:left="317" w:hanging="259"/>
      </w:pPr>
      <w:r>
        <w:t>Semântico em parte: clientes descrevem a mesma intenção de maneiras diferentes e acrescentam contexto.</w:t>
      </w:r>
    </w:p>
    <w:p>
      <w:pPr>
        <w:pStyle w:val="ListBullet"/>
        <w:spacing w:after="40"/>
        <w:ind w:left="317" w:hanging="259"/>
      </w:pPr>
      <w:r>
        <w:t>Preditivo na triagem: o histórico pode apoiar classificação, prioridade e previsão de escalonamento.</w:t>
      </w:r>
    </w:p>
    <w:p>
      <w:pPr>
        <w:pStyle w:val="ListBullet"/>
        <w:spacing w:after="40"/>
        <w:ind w:left="317" w:hanging="259"/>
      </w:pPr>
      <w:r>
        <w:t>Pouco adequado a agentes autônomos: não há justificativa para autonomia aberta ou planejamento complexo.</w:t>
      </w:r>
    </w:p>
    <w:tbl>
      <w:tblPr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  <w:tblBorders>
          <w:top w:val="single" w:sz="7" w:color="2E74B5"/>
          <w:left w:val="single" w:sz="7" w:color="2E74B5"/>
          <w:bottom w:val="single" w:sz="7" w:color="2E74B5"/>
          <w:right w:val="single" w:sz="7" w:color="2E74B5"/>
          <w:insideH w:val="single" w:sz="7" w:color="2E74B5"/>
          <w:insideV w:val="single" w:sz="7" w:color="2E74B5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"/>
            </w:pPr>
            <w:r>
              <w:rPr>
                <w:b/>
              </w:rPr>
              <w:t xml:space="preserve">Hipótese central: </w:t>
            </w:r>
            <w:r>
              <w:rPr>
                <w:b w:val="0"/>
              </w:rPr>
              <w:t>nenhuma tecnologia isolada cobre adequadamente todo o suporte. O valor está em aplicar o menor nível de inteligência suficiente a cada tipo de demanda.</w:t>
            </w:r>
          </w:p>
        </w:tc>
      </w:tr>
    </w:tbl>
    <w:p>
      <w:r>
        <w:br w:type="page"/>
      </w:r>
    </w:p>
    <w:p>
      <w:pPr>
        <w:pStyle w:val="Heading1"/>
      </w:pPr>
      <w:r>
        <w:t>3. Critérios e matriz comparativa</w:t>
      </w:r>
    </w:p>
    <w:p>
      <w:pPr>
        <w:pStyle w:val="Small"/>
      </w:pPr>
      <w:r>
        <w:t>Os critérios foram ponderados conforme o contexto da VittaShop. As notas variam de 1 (desfavorável) a 5 (muito favorável). Em custo, tempo, manutenção e risco, nota maior significa menor esforço ou menor exposição. A pontuação final é a soma das notas multiplicadas pelos respectivos pesos.</w:t>
      </w:r>
    </w:p>
    <w:tbl>
      <w:tblPr>
        <w:tblW w:type="dxa" w:w="10166"/>
        <w:jc w:val="left"/>
        <w:tblLayout w:type="fixed"/>
        <w:tblLook w:firstColumn="1" w:firstRow="1" w:lastColumn="0" w:lastRow="0" w:noHBand="0" w:noVBand="1" w:val="04A0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  <w:tblInd w:w="90" w:type="dxa"/>
      </w:tblPr>
      <w:tblGrid>
        <w:gridCol w:w="3240"/>
        <w:gridCol w:w="892"/>
        <w:gridCol w:w="1440"/>
        <w:gridCol w:w="1440"/>
        <w:gridCol w:w="1440"/>
        <w:gridCol w:w="1713"/>
      </w:tblGrid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Critério</w:t>
            </w:r>
          </w:p>
        </w:tc>
        <w:tc>
          <w:tcPr>
            <w:tcW w:type="dxa" w:w="8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Peso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Regras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ML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LLM</w:t>
            </w:r>
          </w:p>
        </w:tc>
        <w:tc>
          <w:tcPr>
            <w:tcW w:type="dxa" w:w="17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Híbrida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Custo de implantação</w:t>
            </w:r>
          </w:p>
        </w:tc>
        <w:tc>
          <w:tcPr>
            <w:tcW w:type="dxa" w:w="8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15%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7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Custo operacional</w:t>
            </w:r>
          </w:p>
        </w:tc>
        <w:tc>
          <w:tcPr>
            <w:tcW w:type="dxa" w:w="8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7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Tempo de implementação</w:t>
            </w:r>
          </w:p>
        </w:tc>
        <w:tc>
          <w:tcPr>
            <w:tcW w:type="dxa" w:w="8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7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Qualidade esperada</w:t>
            </w:r>
          </w:p>
        </w:tc>
        <w:tc>
          <w:tcPr>
            <w:tcW w:type="dxa" w:w="8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20%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7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Risco de erro</w:t>
            </w:r>
          </w:p>
        </w:tc>
        <w:tc>
          <w:tcPr>
            <w:tcW w:type="dxa" w:w="8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15%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7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Facilidade de manutenção</w:t>
            </w:r>
          </w:p>
        </w:tc>
        <w:tc>
          <w:tcPr>
            <w:tcW w:type="dxa" w:w="8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7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Escalabilidade</w:t>
            </w:r>
          </w:p>
        </w:tc>
        <w:tc>
          <w:tcPr>
            <w:tcW w:type="dxa" w:w="8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7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Governança/auditoria</w:t>
            </w:r>
          </w:p>
        </w:tc>
        <w:tc>
          <w:tcPr>
            <w:tcW w:type="dxa" w:w="8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10%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7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Pontuação ponderada</w:t>
            </w:r>
          </w:p>
        </w:tc>
        <w:tc>
          <w:tcPr>
            <w:tcW w:type="dxa" w:w="8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100%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3,85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3,25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3,10</w:t>
            </w:r>
          </w:p>
        </w:tc>
        <w:tc>
          <w:tcPr>
            <w:tcW w:type="dxa" w:w="17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3,85</w:t>
            </w:r>
          </w:p>
        </w:tc>
      </w:tr>
    </w:tbl>
    <w:p>
      <w:pPr>
        <w:pStyle w:val="Heading2"/>
      </w:pPr>
      <w:r>
        <w:t>Leitura dos resultados</w:t>
      </w:r>
    </w:p>
    <w:p>
      <w:r>
        <w:t>Regras e solução híbrida empatam numericamente, mas não são equivalentes. Regras pontuam bem por custo, rapidez e controle, porém têm baixa qualidade e escalabilidade semântica. O modelo híbrido preserva qualidade e escala com governança superior à LLM isolada. Como o objetivo inclui reduzir repetição sem deteriorar a experiência, a alternativa híbrida apresenta o melhor equilíbrio estratégico.</w:t>
      </w:r>
    </w:p>
    <w:p>
      <w:pPr>
        <w:pStyle w:val="Heading2"/>
      </w:pPr>
      <w:r>
        <w:t>Trade-offs reais</w:t>
      </w:r>
    </w:p>
    <w:tbl>
      <w:tblPr>
        <w:tblW w:type="dxa" w:w="10166"/>
        <w:jc w:val="left"/>
        <w:tblLayout w:type="fixed"/>
        <w:tblLook w:firstColumn="1" w:firstRow="1" w:lastColumn="0" w:lastRow="0" w:noHBand="0" w:noVBand="1" w:val="04A0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  <w:tblInd w:w="90" w:type="dxa"/>
      </w:tblPr>
      <w:tblGrid>
        <w:gridCol w:w="2520"/>
        <w:gridCol w:w="3600"/>
        <w:gridCol w:w="4046"/>
      </w:tblGrid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Escolha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Ganho</w:t>
            </w:r>
          </w:p>
        </w:tc>
        <w:tc>
          <w:tcPr>
            <w:tcW w:type="dxa" w:w="4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Renúncia/condição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Não usar somente regras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Evita jornadas rígidas e cobertura limitada</w:t>
            </w:r>
          </w:p>
        </w:tc>
        <w:tc>
          <w:tcPr>
            <w:tcW w:type="dxa" w:w="4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Aceita maior esforço de integração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Não usar somente ML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Evita confundir triagem com resolução</w:t>
            </w:r>
          </w:p>
        </w:tc>
        <w:tc>
          <w:tcPr>
            <w:tcW w:type="dxa" w:w="4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Mantém ML como componente especializado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Não usar LLM irrestrita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Reduz alucinação e exposição</w:t>
            </w:r>
          </w:p>
        </w:tc>
        <w:tc>
          <w:tcPr>
            <w:tcW w:type="dxa" w:w="4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Limita autonomia e exige escalonamento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Adotar híbrida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Equilibra eficiência, qualidade e controle</w:t>
            </w:r>
          </w:p>
        </w:tc>
        <w:tc>
          <w:tcPr>
            <w:tcW w:type="dxa" w:w="40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Requer implantação por fases e governança</w:t>
            </w:r>
          </w:p>
        </w:tc>
      </w:tr>
    </w:tbl>
    <w:p>
      <w:pPr>
        <w:pStyle w:val="Heading2"/>
      </w:pPr>
      <w:r>
        <w:t>Por que não começar com IA em tudo?</w:t>
      </w:r>
    </w:p>
    <w:p>
      <w:r>
        <w:t>A empresa ainda precisa organizar conteúdo, integrações e métricas. Automatizar um processo despadronizado apenas acelera inconsistências. O FAQ e as regras continuam sendo soluções adequadas quando a resposta é estável; a LLM só agrega valor quando há variação linguística ou necessidade de composição contextual.</w:t>
      </w:r>
    </w:p>
    <w:tbl>
      <w:tblPr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  <w:tblBorders>
          <w:top w:val="single" w:sz="7" w:color="2E74B5"/>
          <w:left w:val="single" w:sz="7" w:color="2E74B5"/>
          <w:bottom w:val="single" w:sz="7" w:color="2E74B5"/>
          <w:right w:val="single" w:sz="7" w:color="2E74B5"/>
          <w:insideH w:val="single" w:sz="7" w:color="2E74B5"/>
          <w:insideV w:val="single" w:sz="7" w:color="2E74B5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shd w:fill="EAF1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"/>
            </w:pPr>
            <w:r>
              <w:rPr>
                <w:b/>
              </w:rPr>
              <w:t xml:space="preserve">Critério de decisão: </w:t>
            </w:r>
            <w:r>
              <w:rPr>
                <w:b w:val="0"/>
              </w:rPr>
              <w:t>a solução vencedora não é a mais sofisticada, e sim a que melhora os indicadores com risco residual aceitável e possibilidade de reversão.</w:t>
            </w:r>
          </w:p>
        </w:tc>
      </w:tr>
    </w:tbl>
    <w:p>
      <w:r>
        <w:br w:type="page"/>
      </w:r>
    </w:p>
    <w:p>
      <w:pPr>
        <w:pStyle w:val="Heading1"/>
      </w:pPr>
      <w:r>
        <w:t>4. Recomendação e desenho operacional</w:t>
      </w:r>
    </w:p>
    <w:p>
      <w:r>
        <w:t>Recomenda-se um sistema híbrido com LLM controlada por recuperação de informações (RAG), sem autonomia para alterar pedidos, aprovar reembolsos ou criar exceções. A resposta deve ser sustentada por fontes vigentes e o sistema deve registrar pergunta, fontes consultadas, resposta, confiança, decisão de roteamento e eventual intervenção humana.</w:t>
      </w:r>
    </w:p>
    <w:tbl>
      <w:tblPr>
        <w:tblW w:type="dxa" w:w="10166"/>
        <w:jc w:val="left"/>
        <w:tblLayout w:type="fixed"/>
        <w:tblLook w:firstColumn="1" w:firstRow="1" w:lastColumn="0" w:lastRow="0" w:noHBand="0" w:noVBand="1" w:val="04A0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  <w:tblInd w:w="90" w:type="dxa"/>
      </w:tblPr>
      <w:tblGrid>
        <w:gridCol w:w="2088"/>
        <w:gridCol w:w="3816"/>
        <w:gridCol w:w="4262"/>
      </w:tblGrid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42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Exemplos de controle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1. Identificação e regras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Autenticar, consultar status e resolver casos fixos</w:t>
            </w:r>
          </w:p>
        </w:tc>
        <w:tc>
          <w:tcPr>
            <w:tcW w:type="dxa" w:w="42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Respostas aprovadas e validação de campos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2. Classificação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Detectar intenção, risco, urgência e destino</w:t>
            </w:r>
          </w:p>
        </w:tc>
        <w:tc>
          <w:tcPr>
            <w:tcW w:type="dxa" w:w="42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Taxonomia, limiar e revisão de erro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3. LLM + RAG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Interpretar e redigir com fontes autorizadas</w:t>
            </w:r>
          </w:p>
        </w:tc>
        <w:tc>
          <w:tcPr>
            <w:tcW w:type="dxa" w:w="42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Citações internas, bloqueios e baixa temperatura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4. Humano assistido</w:t>
            </w:r>
          </w:p>
        </w:tc>
        <w:tc>
          <w:tcPr>
            <w:tcW w:type="dxa" w:w="38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Decidir exceções e validar casos sensíveis</w:t>
            </w:r>
          </w:p>
        </w:tc>
        <w:tc>
          <w:tcPr>
            <w:tcW w:type="dxa" w:w="426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Resumo do caso, sugestão editável e auditoria</w:t>
            </w:r>
          </w:p>
        </w:tc>
      </w:tr>
    </w:tbl>
    <w:p>
      <w:pPr>
        <w:pStyle w:val="Heading2"/>
      </w:pPr>
      <w:r>
        <w:t>Fluxo de decisão</w:t>
      </w:r>
    </w:p>
    <w:tbl>
      <w:tblPr>
        <w:tblW w:type="dxa" w:w="10166"/>
        <w:jc w:val="left"/>
        <w:tblLayout w:type="fixed"/>
        <w:tblLook w:firstColumn="1" w:firstRow="1" w:lastColumn="0" w:lastRow="0" w:noHBand="0" w:noVBand="1" w:val="04A0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  <w:tblInd w:w="90" w:type="dxa"/>
      </w:tblPr>
      <w:tblGrid>
        <w:gridCol w:w="3096"/>
        <w:gridCol w:w="3671"/>
        <w:gridCol w:w="3398"/>
      </w:tblGrid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Entrada do cliente</w:t>
            </w:r>
          </w:p>
        </w:tc>
        <w:tc>
          <w:tcPr>
            <w:tcW w:type="dxa" w:w="36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Roteamento</w:t>
            </w:r>
          </w:p>
        </w:tc>
        <w:tc>
          <w:tcPr>
            <w:tcW w:type="dxa" w:w="3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Saída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Caso determinístico</w:t>
            </w:r>
          </w:p>
        </w:tc>
        <w:tc>
          <w:tcPr>
            <w:tcW w:type="dxa" w:w="36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Regra + dado transacional</w:t>
            </w:r>
          </w:p>
        </w:tc>
        <w:tc>
          <w:tcPr>
            <w:tcW w:type="dxa" w:w="3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Resposta automática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Dúvida semântica de baixo risco</w:t>
            </w:r>
          </w:p>
        </w:tc>
        <w:tc>
          <w:tcPr>
            <w:tcW w:type="dxa" w:w="36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LLM consulta base autorizada</w:t>
            </w:r>
          </w:p>
        </w:tc>
        <w:tc>
          <w:tcPr>
            <w:tcW w:type="dxa" w:w="3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Resposta ou revisão por confiança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Baixa confiança / tema sensível</w:t>
            </w:r>
          </w:p>
        </w:tc>
        <w:tc>
          <w:tcPr>
            <w:tcW w:type="dxa" w:w="36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Escalonamento com contexto</w:t>
            </w:r>
          </w:p>
        </w:tc>
        <w:tc>
          <w:tcPr>
            <w:tcW w:type="dxa" w:w="3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Atendimento humano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Exceção ou ação financeira</w:t>
            </w:r>
          </w:p>
        </w:tc>
        <w:tc>
          <w:tcPr>
            <w:tcW w:type="dxa" w:w="36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Humano decide; IA apenas auxilia</w:t>
            </w:r>
          </w:p>
        </w:tc>
        <w:tc>
          <w:tcPr>
            <w:tcW w:type="dxa" w:w="339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Decisão registrada</w:t>
            </w:r>
          </w:p>
        </w:tc>
      </w:tr>
    </w:tbl>
    <w:p>
      <w:pPr>
        <w:pStyle w:val="Heading2"/>
      </w:pPr>
      <w:r>
        <w:t>Implantação progressiva</w:t>
      </w:r>
    </w:p>
    <w:tbl>
      <w:tblPr>
        <w:tblW w:type="dxa" w:w="10166"/>
        <w:jc w:val="left"/>
        <w:tblLayout w:type="fixed"/>
        <w:tblLook w:firstColumn="1" w:firstRow="1" w:lastColumn="0" w:lastRow="0" w:noHBand="0" w:noVBand="1" w:val="04A0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  <w:tblInd w:w="90" w:type="dxa"/>
      </w:tblPr>
      <w:tblGrid>
        <w:gridCol w:w="2232"/>
        <w:gridCol w:w="4968"/>
        <w:gridCol w:w="2966"/>
      </w:tblGrid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Fase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Escopo</w:t>
            </w:r>
          </w:p>
        </w:tc>
        <w:tc>
          <w:tcPr>
            <w:tcW w:type="dxa" w:w="29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Critério de avanço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1 — Preparação (4–6 semanas)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Taxonomia, base de conhecimento, LGPD, métricas e baseline</w:t>
            </w:r>
          </w:p>
        </w:tc>
        <w:tc>
          <w:tcPr>
            <w:tcW w:type="dxa" w:w="29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Conteúdo aprovado e dados mínimos confiáveis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2 — Copiloto (6–8 semanas)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Classificação, resumo e sugestão para atendentes</w:t>
            </w:r>
          </w:p>
        </w:tc>
        <w:tc>
          <w:tcPr>
            <w:tcW w:type="dxa" w:w="29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Qualidade ≥ 90% na amostra e adesão operacional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3 — Automação limitada (8–12 semanas)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FAQ, rastreamento e políticas de baixo risco</w:t>
            </w:r>
          </w:p>
        </w:tc>
        <w:tc>
          <w:tcPr>
            <w:tcW w:type="dxa" w:w="29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Sem aumento de reclamações; erro crítico próximo de zero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4 — Expansão controlada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Novas intenções após análise de risco</w:t>
            </w:r>
          </w:p>
        </w:tc>
        <w:tc>
          <w:tcPr>
            <w:tcW w:type="dxa" w:w="296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Benefício comprovado e aprovação de governança</w:t>
            </w:r>
          </w:p>
        </w:tc>
      </w:tr>
    </w:tbl>
    <w:p>
      <w:pPr>
        <w:pStyle w:val="Heading2"/>
      </w:pPr>
      <w:r>
        <w:t>Papéis mínimos</w:t>
      </w:r>
    </w:p>
    <w:p>
      <w:pPr>
        <w:pStyle w:val="ListBullet"/>
        <w:spacing w:after="40"/>
        <w:ind w:left="317" w:hanging="259"/>
      </w:pPr>
      <w:r>
        <w:t>Negócio/Suporte: proprietário das políticas, jornadas e indicadores.</w:t>
      </w:r>
    </w:p>
    <w:p>
      <w:pPr>
        <w:pStyle w:val="ListBullet"/>
        <w:spacing w:after="40"/>
        <w:ind w:left="317" w:hanging="259"/>
      </w:pPr>
      <w:r>
        <w:t>Tecnologia/Dados: integrações, modelo, observabilidade e continuidade.</w:t>
      </w:r>
    </w:p>
    <w:p>
      <w:pPr>
        <w:pStyle w:val="ListBullet"/>
        <w:spacing w:after="40"/>
        <w:ind w:left="317" w:hanging="259"/>
      </w:pPr>
      <w:r>
        <w:t>Jurídico, Privacidade e Segurança: LGPD, retenção, acesso e testes adversariais.</w:t>
      </w:r>
    </w:p>
    <w:p>
      <w:pPr>
        <w:pStyle w:val="ListBullet"/>
        <w:spacing w:after="40"/>
        <w:ind w:left="317" w:hanging="259"/>
      </w:pPr>
      <w:r>
        <w:t>Comitê de IA: aprova casos de uso, limites de autonomia e expansão de escopo.</w:t>
      </w:r>
    </w:p>
    <w:tbl>
      <w:tblPr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  <w:tblBorders>
          <w:top w:val="single" w:sz="7" w:color="2E74B5"/>
          <w:left w:val="single" w:sz="7" w:color="2E74B5"/>
          <w:bottom w:val="single" w:sz="7" w:color="2E74B5"/>
          <w:right w:val="single" w:sz="7" w:color="2E74B5"/>
          <w:insideH w:val="single" w:sz="7" w:color="2E74B5"/>
          <w:insideV w:val="single" w:sz="7" w:color="2E74B5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"/>
            </w:pPr>
            <w:r>
              <w:rPr>
                <w:b/>
              </w:rPr>
              <w:t xml:space="preserve">Go/no-go: </w:t>
            </w:r>
            <w:r>
              <w:rPr>
                <w:b w:val="0"/>
              </w:rPr>
              <w:t>somente automatizar uma intenção quando houver fonte oficial, risco baixo, resultado mensurável, mecanismo de fallback e responsável definido.</w:t>
            </w:r>
          </w:p>
        </w:tc>
      </w:tr>
    </w:tbl>
    <w:p>
      <w:r>
        <w:br w:type="page"/>
      </w:r>
    </w:p>
    <w:p>
      <w:pPr>
        <w:pStyle w:val="Heading1"/>
      </w:pPr>
      <w:r>
        <w:t>5. Mapa inicial de riscos</w:t>
      </w:r>
    </w:p>
    <w:tbl>
      <w:tblPr>
        <w:tblW w:type="dxa" w:w="10166"/>
        <w:jc w:val="left"/>
        <w:tblLayout w:type="fixed"/>
        <w:tblLook w:firstColumn="1" w:firstRow="1" w:lastColumn="0" w:lastRow="0" w:noHBand="0" w:noVBand="1" w:val="04A0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  <w:tblInd w:w="90" w:type="dxa"/>
      </w:tblPr>
      <w:tblGrid>
        <w:gridCol w:w="2664"/>
        <w:gridCol w:w="503"/>
        <w:gridCol w:w="503"/>
        <w:gridCol w:w="936"/>
        <w:gridCol w:w="5558"/>
      </w:tblGrid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P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I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55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5"/>
              </w:rPr>
              <w:t>Controles iniciais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Resposta inventada ou política incorreta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Alto</w:t>
            </w:r>
          </w:p>
        </w:tc>
        <w:tc>
          <w:tcPr>
            <w:tcW w:type="dxa" w:w="55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RAG restrito; fontes vigentes; testes; fallback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Exposição de dados pessoais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Alto</w:t>
            </w:r>
          </w:p>
        </w:tc>
        <w:tc>
          <w:tcPr>
            <w:tcW w:type="dxa" w:w="55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Minimização; mascaramento; acesso; retenção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Ação indevida sobre pedido/reembolso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Alto</w:t>
            </w:r>
          </w:p>
        </w:tc>
        <w:tc>
          <w:tcPr>
            <w:tcW w:type="dxa" w:w="55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Sem autonomia transacional; dupla validação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Prompt injection e abuso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Alto</w:t>
            </w:r>
          </w:p>
        </w:tc>
        <w:tc>
          <w:tcPr>
            <w:tcW w:type="dxa" w:w="55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Separação de instruções; filtros; testes adversariais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Viés ou tratamento inadequado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Médio</w:t>
            </w:r>
          </w:p>
        </w:tc>
        <w:tc>
          <w:tcPr>
            <w:tcW w:type="dxa" w:w="55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Amostras por segmento; revisão; canal de contestação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Custo variável acima do previsto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Médio</w:t>
            </w:r>
          </w:p>
        </w:tc>
        <w:tc>
          <w:tcPr>
            <w:tcW w:type="dxa" w:w="55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Limites, cache, roteamento e orçamento por intenção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Dependência de fornecedor/modelo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Médio</w:t>
            </w:r>
          </w:p>
        </w:tc>
        <w:tc>
          <w:tcPr>
            <w:tcW w:type="dxa" w:w="55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Camada de abstração; portabilidade; plano de saída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Base desatualizada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Alto</w:t>
            </w:r>
          </w:p>
        </w:tc>
        <w:tc>
          <w:tcPr>
            <w:tcW w:type="dxa" w:w="55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Dono do conteúdo; validade; bloqueio de documento vencido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Baixa adoção pelos atendentes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Médio</w:t>
            </w:r>
          </w:p>
        </w:tc>
        <w:tc>
          <w:tcPr>
            <w:tcW w:type="dxa" w:w="55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Cocriação, treinamento e captura de feedback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Automação reduz qualidade percebida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M</w:t>
            </w:r>
          </w:p>
        </w:tc>
        <w:tc>
          <w:tcPr>
            <w:tcW w:type="dxa" w:w="5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Alto</w:t>
            </w:r>
          </w:p>
        </w:tc>
        <w:tc>
          <w:tcPr>
            <w:tcW w:type="dxa" w:w="55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Piloto, opt-out, monitoramento de CSAT e escalonamento</w:t>
            </w:r>
          </w:p>
        </w:tc>
      </w:tr>
    </w:tbl>
    <w:p>
      <w:pPr>
        <w:pStyle w:val="Small"/>
      </w:pPr>
      <w:r>
        <w:t>Legenda: P = probabilidade; I = impacto; B = baixa; M = média; A = alta. O nível deverá ser recalculado após os controles e antes de cada ampliação de escopo.</w:t>
      </w:r>
    </w:p>
    <w:p>
      <w:pPr>
        <w:pStyle w:val="Heading2"/>
      </w:pPr>
      <w:r>
        <w:t>Controles de governança essenciais</w:t>
      </w:r>
    </w:p>
    <w:p>
      <w:pPr>
        <w:pStyle w:val="ListBullet"/>
        <w:spacing w:after="40"/>
        <w:ind w:left="317" w:hanging="259"/>
      </w:pPr>
      <w:r>
        <w:t>Catálogo de casos de uso e registro de versão do modelo, prompts e fontes.</w:t>
      </w:r>
    </w:p>
    <w:p>
      <w:pPr>
        <w:pStyle w:val="ListBullet"/>
        <w:spacing w:after="40"/>
        <w:ind w:left="317" w:hanging="259"/>
      </w:pPr>
      <w:r>
        <w:t>Avaliação pré-produção com conjunto de testes representativo e cenários adversariais.</w:t>
      </w:r>
    </w:p>
    <w:p>
      <w:pPr>
        <w:pStyle w:val="ListBullet"/>
        <w:spacing w:after="40"/>
        <w:ind w:left="317" w:hanging="259"/>
      </w:pPr>
      <w:r>
        <w:t>Monitoramento contínuo de erro, custo, latência, reclamação e escalonamento.</w:t>
      </w:r>
    </w:p>
    <w:p>
      <w:pPr>
        <w:pStyle w:val="ListBullet"/>
        <w:spacing w:after="40"/>
        <w:ind w:left="317" w:hanging="259"/>
      </w:pPr>
      <w:r>
        <w:t>Trilha de auditoria e capacidade de suspender uma intenção sem indisponibilizar todo o suporte.</w:t>
      </w:r>
    </w:p>
    <w:p>
      <w:pPr>
        <w:pStyle w:val="ListBullet"/>
        <w:spacing w:after="40"/>
        <w:ind w:left="317" w:hanging="259"/>
      </w:pPr>
      <w:r>
        <w:t>Revisão humana obrigatória para decisões com impacto financeiro, jurídico ou reputacional relevante.</w:t>
      </w:r>
    </w:p>
    <w:p>
      <w:pPr>
        <w:pStyle w:val="Heading2"/>
      </w:pPr>
      <w:r>
        <w:t>Gatilhos de suspensão</w:t>
      </w:r>
    </w:p>
    <w:p>
      <w:r>
        <w:t>A automação deve ser interrompida quando houver incidente de privacidade, resposta que induza prejuízo, crescimento relevante de reclamações, degradação persistente da precisão ou ausência de fonte válida. A retomada depende de análise de causa, correção, novo teste e aprovação do responsável pelo serviço.</w:t>
      </w:r>
    </w:p>
    <w:tbl>
      <w:tblPr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  <w:tblBorders>
          <w:top w:val="single" w:sz="7" w:color="2E74B5"/>
          <w:left w:val="single" w:sz="7" w:color="2E74B5"/>
          <w:bottom w:val="single" w:sz="7" w:color="2E74B5"/>
          <w:right w:val="single" w:sz="7" w:color="2E74B5"/>
          <w:insideH w:val="single" w:sz="7" w:color="2E74B5"/>
          <w:insideV w:val="single" w:sz="7" w:color="2E74B5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"/>
            </w:pPr>
            <w:r>
              <w:rPr>
                <w:b/>
              </w:rPr>
              <w:t xml:space="preserve">Risco residual aceitável: </w:t>
            </w:r>
            <w:r>
              <w:rPr>
                <w:b w:val="0"/>
              </w:rPr>
              <w:t>erros de linguagem ou necessidade de escalonamento podem ser tolerados dentro de limites; vazamento de dados, transação indevida e orientação contrária à política são eventos críticos e não devem ser aceitos.</w:t>
            </w:r>
          </w:p>
        </w:tc>
      </w:tr>
    </w:tbl>
    <w:p>
      <w:r>
        <w:br w:type="page"/>
      </w:r>
    </w:p>
    <w:p>
      <w:pPr>
        <w:pStyle w:val="Heading1"/>
      </w:pPr>
      <w:r>
        <w:t>6. Indicadores, limitações e conclusão</w:t>
      </w:r>
    </w:p>
    <w:p>
      <w:pPr>
        <w:pStyle w:val="Heading2"/>
      </w:pPr>
      <w:r>
        <w:t>Indicadores de sucesso</w:t>
      </w:r>
    </w:p>
    <w:tbl>
      <w:tblPr>
        <w:tblW w:type="dxa" w:w="10166"/>
        <w:jc w:val="left"/>
        <w:tblLayout w:type="fixed"/>
        <w:tblLook w:firstColumn="1" w:firstRow="1" w:lastColumn="0" w:lastRow="0" w:noHBand="0" w:noVBand="1" w:val="04A0"/>
        <w:tblBorders>
          <w:top w:val="single" w:sz="5" w:color="C9D2DC"/>
          <w:left w:val="single" w:sz="5" w:color="C9D2DC"/>
          <w:bottom w:val="single" w:sz="5" w:color="C9D2DC"/>
          <w:right w:val="single" w:sz="5" w:color="C9D2DC"/>
          <w:insideH w:val="single" w:sz="5" w:color="C9D2DC"/>
          <w:insideV w:val="single" w:sz="5" w:color="C9D2DC"/>
        </w:tblBorders>
        <w:tblInd w:w="90" w:type="dxa"/>
      </w:tblPr>
      <w:tblGrid>
        <w:gridCol w:w="1800"/>
        <w:gridCol w:w="4031"/>
        <w:gridCol w:w="4334"/>
      </w:tblGrid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Dimensão</w:t>
            </w:r>
          </w:p>
        </w:tc>
        <w:tc>
          <w:tcPr>
            <w:tcW w:type="dxa" w:w="40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3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Meta inicial de validação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Velocidade</w:t>
            </w:r>
          </w:p>
        </w:tc>
        <w:tc>
          <w:tcPr>
            <w:tcW w:type="dxa" w:w="40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Tempo de primeira resposta</w:t>
            </w:r>
          </w:p>
        </w:tc>
        <w:tc>
          <w:tcPr>
            <w:tcW w:type="dxa" w:w="43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Redução de 8 h para menos de 2 h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Eficiência</w:t>
            </w:r>
          </w:p>
        </w:tc>
        <w:tc>
          <w:tcPr>
            <w:tcW w:type="dxa" w:w="40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Custo médio por ticket</w:t>
            </w:r>
          </w:p>
        </w:tc>
        <w:tc>
          <w:tcPr>
            <w:tcW w:type="dxa" w:w="43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Redução de 20% após estabilização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Automação</w:t>
            </w:r>
          </w:p>
        </w:tc>
        <w:tc>
          <w:tcPr>
            <w:tcW w:type="dxa" w:w="40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Resolução sem intervenção humana</w:t>
            </w:r>
          </w:p>
        </w:tc>
        <w:tc>
          <w:tcPr>
            <w:tcW w:type="dxa" w:w="43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25%–35% nas intenções elegíveis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Qualidade</w:t>
            </w:r>
          </w:p>
        </w:tc>
        <w:tc>
          <w:tcPr>
            <w:tcW w:type="dxa" w:w="40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Precisão/aderência à política</w:t>
            </w:r>
          </w:p>
        </w:tc>
        <w:tc>
          <w:tcPr>
            <w:tcW w:type="dxa" w:w="43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≥ 90%; erro crítico próximo de zero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Experiência</w:t>
            </w:r>
          </w:p>
        </w:tc>
        <w:tc>
          <w:tcPr>
            <w:tcW w:type="dxa" w:w="40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CSAT e taxa de reabertura</w:t>
            </w:r>
          </w:p>
        </w:tc>
        <w:tc>
          <w:tcPr>
            <w:tcW w:type="dxa" w:w="43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Não piorar CSAT; reduzir reabertura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Governança</w:t>
            </w:r>
          </w:p>
        </w:tc>
        <w:tc>
          <w:tcPr>
            <w:tcW w:type="dxa" w:w="40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Cobertura de logs e fontes válidas</w:t>
            </w:r>
          </w:p>
        </w:tc>
        <w:tc>
          <w:tcPr>
            <w:tcW w:type="dxa" w:w="43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6"/>
              </w:rPr>
              <w:t>100% dos atendimentos automatizados</w:t>
            </w:r>
          </w:p>
        </w:tc>
      </w:tr>
    </w:tbl>
    <w:p>
      <w:pPr>
        <w:pStyle w:val="Small"/>
      </w:pPr>
      <w:r>
        <w:t>As metas são hipóteses para o piloto. A linha de base deve ser confirmada antes da implantação e o benefício financeiro só deve ser reconhecido após estabilização, incluindo licenças, integração, monitoramento e revisão humana.</w:t>
      </w:r>
    </w:p>
    <w:p>
      <w:pPr>
        <w:pStyle w:val="Heading2"/>
      </w:pPr>
      <w:r>
        <w:t>Limitações da recomendação</w:t>
      </w:r>
    </w:p>
    <w:p>
      <w:pPr>
        <w:pStyle w:val="ListBullet"/>
        <w:spacing w:after="40"/>
        <w:ind w:left="317" w:hanging="259"/>
      </w:pPr>
      <w:r>
        <w:t>Os dados operacionais são simulados; não substituem diagnóstico com tickets reais e custos da empresa.</w:t>
      </w:r>
    </w:p>
    <w:p>
      <w:pPr>
        <w:pStyle w:val="ListBullet"/>
        <w:spacing w:after="40"/>
        <w:ind w:left="317" w:hanging="259"/>
      </w:pPr>
      <w:r>
        <w:t>A matriz traduz prioridades assumidas. Alterações nos pesos podem mudar o ranking.</w:t>
      </w:r>
    </w:p>
    <w:p>
      <w:pPr>
        <w:pStyle w:val="ListBullet"/>
        <w:spacing w:after="40"/>
        <w:ind w:left="317" w:hanging="259"/>
      </w:pPr>
      <w:r>
        <w:t>A solução depende de integração segura com pedidos e de uma base de conhecimento confiável.</w:t>
      </w:r>
    </w:p>
    <w:p>
      <w:pPr>
        <w:pStyle w:val="ListBullet"/>
        <w:spacing w:after="40"/>
        <w:ind w:left="317" w:hanging="259"/>
      </w:pPr>
      <w:r>
        <w:t>LLM não elimina o atendimento humano; desloca sua atuação para exceções e casos complexos.</w:t>
      </w:r>
    </w:p>
    <w:p>
      <w:pPr>
        <w:pStyle w:val="Heading2"/>
      </w:pPr>
      <w:r>
        <w:t>Recomendação final</w:t>
      </w:r>
    </w:p>
    <w:p>
      <w:r>
        <w:t>A VittaShop deve adotar a abordagem híbrida, começando por preparação de dados e atendimento humano assistido, e somente depois automatizando intenções de baixo risco. Regras e ML continuam relevantes: regras oferecem previsibilidade; ML organiza o fluxo; a LLM amplia a compreensão semântica; e humanos preservam julgamento e responsabilização.</w:t>
      </w:r>
    </w:p>
    <w:p>
      <w:r>
        <w:t>Não se recomenda um agente autônomo amplo nem uma LLM conectada diretamente a ações financeiras. Essa arquitetura adicionaria complexidade e risco sem benefício proporcional para o problema delimitado. Também não se recomenda descartar soluções sem IA: para respostas determinísticas, regras são mais baratas, explicáveis e seguras.</w:t>
      </w:r>
    </w:p>
    <w:tbl>
      <w:tblPr>
        <w:tblW w:type="dxa" w:w="10166"/>
        <w:jc w:val="left"/>
        <w:tblLayout w:type="fixed"/>
        <w:tblLook w:firstColumn="1" w:firstRow="1" w:lastColumn="0" w:lastRow="0" w:noHBand="0" w:noVBand="1" w:val="04A0"/>
        <w:tblInd w:w="90" w:type="dxa"/>
        <w:tblBorders>
          <w:top w:val="single" w:sz="7" w:color="2E74B5"/>
          <w:left w:val="single" w:sz="7" w:color="2E74B5"/>
          <w:bottom w:val="single" w:sz="7" w:color="2E74B5"/>
          <w:right w:val="single" w:sz="7" w:color="2E74B5"/>
          <w:insideH w:val="single" w:sz="7" w:color="2E74B5"/>
          <w:insideV w:val="single" w:sz="7" w:color="2E74B5"/>
        </w:tblBorders>
      </w:tblPr>
      <w:tblGrid>
        <w:gridCol w:w="10166"/>
      </w:tblGrid>
      <w:tr>
        <w:trPr>
          <w:cantSplit/>
        </w:trPr>
        <w:tc>
          <w:tcPr>
            <w:tcW w:type="dxa" w:w="10166"/>
            <w:shd w:fill="E2F0D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allout"/>
            </w:pPr>
            <w:r>
              <w:rPr>
                <w:b/>
              </w:rPr>
              <w:t xml:space="preserve">Conclusão executiva: </w:t>
            </w:r>
            <w:r>
              <w:rPr>
                <w:b w:val="0"/>
              </w:rPr>
              <w:t>o investimento deve ser aprovado como piloto híbrido, com escopo limitado, métricas pré-definidas e expansão condicionada a evidências. A decisão não é “usar IA”, mas empregar cada tecnologia somente onde seu benefício supera custo e risco.</w:t>
            </w:r>
          </w:p>
        </w:tc>
      </w:tr>
    </w:tbl>
    <w:p>
      <w:pPr>
        <w:pStyle w:val="Heading2"/>
      </w:pPr>
      <w:r>
        <w:t>Premissas e referência de elaboração</w:t>
      </w:r>
    </w:p>
    <w:p>
      <w:pPr>
        <w:pStyle w:val="Small"/>
      </w:pPr>
      <w:r>
        <w:t>Caso fictício elaborado para fins acadêmicos a partir do enunciado do micro-capstone e do exemplo “Projeto Prático – M1D1”. Todos os volumes, prazos e metas referentes à VittaShop são hipóteses de trabalho e deverão ser validados em uma aplicação real.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085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MICRO-CAPSTONE | DECISÃO SOBRE IA EM SUPORTE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2021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2E74B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after="100"/>
    </w:pPr>
    <w:rPr>
      <w:rFonts w:ascii="Arial" w:hAnsi="Arial"/>
      <w:b/>
      <w:color w:val="17365D"/>
      <w:sz w:val="20"/>
    </w:rPr>
  </w:style>
  <w:style w:type="paragraph" w:customStyle="1" w:styleId="Small">
    <w:name w:val="Small"/>
    <w:pPr>
      <w:spacing w:after="40"/>
    </w:pPr>
    <w:rPr>
      <w:rFonts w:ascii="Arial" w:hAnsi="Arial"/>
      <w:color w:val="66708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