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3F96" w14:textId="752FB7C0" w:rsidR="004F18D5" w:rsidRPr="001B3E50" w:rsidRDefault="001B3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E50">
        <w:rPr>
          <w:rFonts w:ascii="Times New Roman" w:hAnsi="Times New Roman" w:cs="Times New Roman"/>
          <w:b/>
          <w:bCs/>
          <w:sz w:val="24"/>
          <w:szCs w:val="24"/>
        </w:rPr>
        <w:t>INTERACTIVE ANALYSIS OF AGE, SOCIAL CLASS, AND GENDER ON TRAUMATIC EXPERIENCES OF VICTIMS OF BANDITRY IN NORTHWEST NIGERIA; A SYSTEMATIC REVIEW</w:t>
      </w:r>
    </w:p>
    <w:sectPr w:rsidR="004F18D5" w:rsidRPr="001B3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3E50"/>
    <w:rsid w:val="001B3E50"/>
    <w:rsid w:val="004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3374"/>
  <w15:chartTrackingRefBased/>
  <w15:docId w15:val="{B127AD8D-33DF-437C-95D0-11DB2705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sylvester</dc:creator>
  <cp:keywords/>
  <dc:description/>
  <cp:lastModifiedBy>sylvia sylvester</cp:lastModifiedBy>
  <cp:revision>1</cp:revision>
  <dcterms:created xsi:type="dcterms:W3CDTF">2022-08-10T18:43:00Z</dcterms:created>
  <dcterms:modified xsi:type="dcterms:W3CDTF">2022-08-10T18:45:00Z</dcterms:modified>
</cp:coreProperties>
</file>