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A5691F"/>
          <w:sz w:val="36"/>
          <w:szCs w:val="36"/>
        </w:rPr>
        <w:t xml:space="preserve">One Transaction, End to End</w:t>
      </w:r>
    </w:p>
    <w:p>
      <w:pPr>
        <w:spacing w:after="400"/>
      </w:pPr>
      <w:r>
        <w:rPr>
          <w:color w:val="55604C"/>
          <w:sz w:val="24"/>
          <w:szCs w:val="24"/>
        </w:rPr>
        <w:t xml:space="preserve">A worked example from LedgerBooks through MRA_TaxInvoice_System, using a real transaction posted during testing — every value below is what actually happened, not a mock-up.</w:t>
      </w:r>
    </w:p>
    <w:p>
      <w:pPr>
        <w:pStyle w:val="Heading1"/>
        <w:spacing w:after="200" w:before="400"/>
      </w:pPr>
      <w:r>
        <w:t xml:space="preserve">1. The Transaction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E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EE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LedgerBooks company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Test Co Ltd  (Company #2)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Co2 Customer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INV-0001 — 2026-08-14, due 2026-09-13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item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Service — Qty 1 @ 1,000.00, taxable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VAT rate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 (standard Mauritius rate)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Subtotal / VAT / Total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1,000.00 / 150.00 / 1,150.00</w:t>
            </w:r>
          </w:p>
        </w:tc>
      </w:tr>
    </w:tbl>
    <w:p>
      <w:pPr>
        <w:pStyle w:val="Heading1"/>
        <w:spacing w:after="200" w:before="400"/>
      </w:pPr>
      <w:r>
        <w:t xml:space="preserve">2. Schematic Flow</w:t>
      </w:r>
    </w:p>
    <w:p>
      <w:pPr>
        <w:jc w:val="center"/>
      </w:pPr>
      <w:r>
        <w:drawing>
          <wp:inline distT="0" distB="0" distL="0" distR="0">
            <wp:extent cx="4381500" cy="715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604C"/>
          <w:sz w:val="18"/>
          <w:szCs w:val="18"/>
        </w:rPr>
        <w:t xml:space="preserve">INV-0001, step by step — from the New Invoice form in LedgerBooks (Second Test Co Ltd) to a fiscalised record in MRA_TaxInvoice_System (MRA Second Co Ltd).</w:t>
      </w:r>
    </w:p>
    <w:p>
      <w:pPr>
        <w:pStyle w:val="Heading1"/>
        <w:spacing w:after="200" w:before="400"/>
      </w:pPr>
      <w:r>
        <w:t xml:space="preserve">3. Step-by-Step Narrative</w:t>
      </w:r>
    </w:p>
    <w:p>
      <w:pPr>
        <w:pStyle w:val="Heading2"/>
        <w:spacing w:after="150" w:before="300"/>
      </w:pPr>
      <w:r>
        <w:t xml:space="preserve">Step 1 — The form</w:t>
      </w:r>
    </w:p>
    <w:p>
      <w:pPr>
        <w:spacing w:after="160"/>
      </w:pPr>
      <w:r>
        <w:t xml:space="preserve">A user, logged into LedgerBooks with Second Test Co Ltd as the active company, opens New Invoice, selects customer Co2 Customer, and adds one line: "Test Service", quantity 1, unit price 1,000.00, marked taxable, posting to income account 4000 – Sales Revenue.</w:t>
      </w:r>
    </w:p>
    <w:p>
      <w:pPr>
        <w:pStyle w:val="Heading2"/>
        <w:spacing w:after="150" w:before="300"/>
      </w:pPr>
      <w:r>
        <w:t xml:space="preserve">Step 2 — Posted to the ledger</w:t>
      </w:r>
    </w:p>
    <w:p>
      <w:pPr>
        <w:spacing w:after="160"/>
      </w:pPr>
      <w:r>
        <w:t xml:space="preserve">On submit, LedgerBooks assigns the next invoice number scoped to this company alone — INV-0001, because this is Second Test Co Ltd's first invoice, regardless of what number any other company is up to — and immediately builds and commits a balanced double-entry Journal Entry (#60):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400"/>
      </w:tblGrid>
      <w:tr>
        <w:tc>
          <w:tcPr>
            <w:tcW w:type="dxa" w:w="4800"/>
            <w:shd w:fill="EE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2400"/>
            <w:shd w:fill="EE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Debit</w:t>
            </w:r>
          </w:p>
        </w:tc>
        <w:tc>
          <w:tcPr>
            <w:tcW w:type="dxa" w:w="2400"/>
            <w:shd w:fill="EEE8D8" w:val="clear"/>
          </w:tcPr>
          <w:p>
            <w:r>
              <w:rPr>
                <w:b/>
                <w:bCs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 — Accounts Receivable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1,150.00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4000 — Sales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1,000.00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2100 — VAT Payable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150.00</w:t>
            </w:r>
          </w:p>
        </w:tc>
      </w:tr>
    </w:tbl>
    <w:p>
      <w:pPr>
        <w:spacing w:after="160"/>
      </w:pPr>
      <w:r>
        <w:t xml:space="preserve">This step is final and independent of everything that follows — the invoice is correctly posted in LedgerBooks' own books whether or not MRA_TaxInvoice_System is even reachable.</w:t>
      </w:r>
    </w:p>
    <w:p>
      <w:pPr>
        <w:pStyle w:val="Heading2"/>
        <w:spacing w:after="150" w:before="300"/>
      </w:pPr>
      <w:r>
        <w:t xml:space="preserve">Step 3 — The bridge call</w:t>
      </w:r>
    </w:p>
    <w:p>
      <w:pPr>
        <w:spacing w:after="160"/>
      </w:pPr>
      <w:r>
        <w:t xml:space="preserve">Immediately after committing, LedgerBooks fires POST http://localhost:5059/api/v1/fiscalize, authenticated with the X-Api-Key belonging specifically to Second Test Co Ltd's own MRA connection (configured on its own Settings page) — not a key shared across every LedgerBooks company. The payload is the customer's details and the one line item, in MRA_TaxInvoice_System's generic format.</w:t>
      </w:r>
    </w:p>
    <w:p>
      <w:pPr>
        <w:pStyle w:val="Heading2"/>
        <w:spacing w:after="150" w:before="300"/>
      </w:pPr>
      <w:r>
        <w:t xml:space="preserve">Steps 4–5 — Received and fiscalised</w:t>
      </w:r>
    </w:p>
    <w:p>
      <w:pPr>
        <w:spacing w:after="160"/>
      </w:pPr>
      <w:r>
        <w:t xml:space="preserve">MRA_TaxInvoice_System, running as company MRA Second Co Ltd, matches or auto-creates a customer record for "Co2 Customer", classifies the line under VAT code TC01 (the standard 15% rate), and computes the same total independently: 1,000.00 + 150.00 = 1,150.00 MUR. Because this MRA company has no live MRA EBS certification configured, the invoice is fiscalised in offline mode: invoice number STD-000001, IRN OFFLINE-E7E868E322DF.</w:t>
      </w:r>
    </w:p>
    <w:p>
      <w:pPr>
        <w:pStyle w:val="Heading2"/>
        <w:spacing w:after="150" w:before="300"/>
      </w:pPr>
      <w:r>
        <w:t xml:space="preserve">Steps 6–7 — Result written back</w:t>
      </w:r>
    </w:p>
    <w:p>
      <w:pPr>
        <w:spacing w:after="160"/>
      </w:pPr>
      <w:r>
        <w:t xml:space="preserve">The response is saved directly onto the LedgerBooks invoice — mra_invoice_number, mra_irn, and mra_status — and shown on the invoice's own detail page as "MRA: OFFLINE · STD-000001 · IRN OFFLINE-E7E868E322DF", with no further action needed from the user.</w:t>
      </w:r>
    </w:p>
    <w:p>
      <w:pPr>
        <w:pStyle w:val="Heading1"/>
        <w:spacing w:after="200" w:before="400"/>
      </w:pPr>
      <w:r>
        <w:t xml:space="preserve">4. Independent Verification</w:t>
      </w:r>
    </w:p>
    <w:p>
      <w:pPr>
        <w:spacing w:after="160"/>
      </w:pPr>
      <w:r>
        <w:t xml:space="preserve">Both ends of this transaction were checked directly against their own systems, not inferred: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LedgerBooks, Company 2 (Second Test Co Ltd): invoice detail page for INV-0001 shows MRA STD-000001 / OFFLINE-E7E868E322DF.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MRA_TaxInvoice_System, company MRA Second Co Ltd: STD-000001 appears in its own invoice list, customer Co2 Customer, total 1,150.00 MUR — matching exactly.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Confirmed absent from Company 1 on the LedgerBooks side and from the original MRA company on the MRA side — this transaction belongs to exactly one pair of companies, with no cross-tenant bleed in either direction.</w:t>
      </w:r>
    </w:p>
    <w:p>
      <w:pPr>
        <w:pStyle w:val="Heading1"/>
        <w:spacing w:after="200" w:before="400"/>
      </w:pPr>
      <w:r>
        <w:t xml:space="preserve">5. Why This Example Matters</w:t>
      </w:r>
    </w:p>
    <w:p>
      <w:pPr>
        <w:spacing w:after="160"/>
      </w:pPr>
      <w:r>
        <w:t xml:space="preserve">This single transaction exercises every layer added in the multi-company build: company-scoped invoice numbering (INV-0001, not a number inherited from another company's sequence), a per-company MRA connection resolved from the invoice's own company_id rather than from whoever is logged in, and a ledger entry that posts and stays correct in LedgerBooks regardless of what MRA_TaxInvoice_System does with it afterward.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61b6680b9eff434d1eedd7264874af58bd2a4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2026-09-04T12:20:50.655Z</dcterms:created>
  <dcterms:modified xsi:type="dcterms:W3CDTF">2026-09-04T12:20:50.657Z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