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0F766E"/>
          <w:sz w:val="56"/>
          <w:szCs w:val="56"/>
        </w:rPr>
        <w:t xml:space="preserve">NovaByte LedgerBooks</w:t>
      </w:r>
    </w:p>
    <w:p>
      <w:pPr>
        <w:spacing w:after="100"/>
        <w:jc w:val="center"/>
      </w:pPr>
      <w:r>
        <w:rPr>
          <w:color w:val="1F2937"/>
          <w:sz w:val="32"/>
          <w:szCs w:val="32"/>
        </w:rPr>
        <w:t xml:space="preserve">Complete System Documentation</w:t>
      </w:r>
    </w:p>
    <w:p>
      <w:pPr>
        <w:spacing w:after="800"/>
        <w:jc w:val="center"/>
      </w:pPr>
      <w:r>
        <w:rPr>
          <w:i/>
          <w:iCs/>
          <w:color w:val="6B7280"/>
          <w:sz w:val="22"/>
          <w:szCs w:val="22"/>
        </w:rPr>
        <w:t xml:space="preserve">Multi-Company Double-Entry Accounting for Mauritius Businesses</w:t>
      </w:r>
    </w:p>
    <w:p>
      <w:pPr>
        <w:jc w:val="center"/>
      </w:pPr>
      <w:r>
        <w:rPr>
          <w:color w:val="6B7280"/>
          <w:sz w:val="20"/>
          <w:szCs w:val="20"/>
        </w:rPr>
        <w:t xml:space="preserve">Prepared: 20 September 2026</w:t>
      </w:r>
    </w:p>
    <w:p>
      <w:pPr>
        <w:spacing w:after="1600"/>
        <w:jc w:val="center"/>
      </w:pPr>
      <w:r>
        <w:rPr>
          <w:color w:val="0F766E"/>
          <w:sz w:val="20"/>
          <w:szCs w:val="20"/>
        </w:rPr>
        <w:t xml:space="preserve">Live product: ledgerbooks.onrender.com</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NovaByte LedgerBooks is a multi-company, multi-currency double-entry accounting system, purpose-built for how businesses in Mauritius actually operate: trading in several currencies, filing VAT and e-invoices with the MRA, and often running more than one legal entity or branch from the same team. It is delivered as a web application, accessible from any device with a browser, with no local installation required.</w:t>
      </w:r>
    </w:p>
    <w:p>
      <w:pPr>
        <w:spacing w:after="160"/>
      </w:pPr>
      <w:r>
        <w:t xml:space="preserve">This document is a complete reference to everything the system does today — every module, every report, every integration, and every configuration option — as well as the public marketing site that accompanies it and the infrastructure it runs on.</w:t>
      </w:r>
    </w:p>
    <w:p>
      <w:pPr>
        <w:pStyle w:val="Heading3"/>
        <w:spacing w:after="100" w:before="200"/>
      </w:pPr>
      <w:r>
        <w:t xml:space="preserve">What makes this different from a generic accounting package</w:t>
      </w:r>
    </w:p>
    <w:p>
      <w:pPr>
        <w:pStyle w:val="ListParagraph"/>
        <w:numPr>
          <w:ilvl w:val="0"/>
          <w:numId w:val="1"/>
        </w:numPr>
        <w:spacing w:after="90"/>
      </w:pPr>
      <w:r>
        <w:t xml:space="preserve">Built around Mauritius specifically: MRA e-invoice fiscalisation, a Statement of Goods and Services export matching MRA's own template, and VAT handling that reflects local rates.</w:t>
      </w:r>
    </w:p>
    <w:p>
      <w:pPr>
        <w:pStyle w:val="ListParagraph"/>
        <w:numPr>
          <w:ilvl w:val="0"/>
          <w:numId w:val="1"/>
        </w:numPr>
        <w:spacing w:after="90"/>
      </w:pPr>
      <w:r>
        <w:t xml:space="preserve">Genuinely multi-company: one login can serve several businesses (or several branches/companies under one group), each with its own isolated books.</w:t>
      </w:r>
    </w:p>
    <w:p>
      <w:pPr>
        <w:pStyle w:val="ListParagraph"/>
        <w:numPr>
          <w:ilvl w:val="0"/>
          <w:numId w:val="1"/>
        </w:numPr>
        <w:spacing w:after="90"/>
      </w:pPr>
      <w:r>
        <w:t xml:space="preserve">Multi-currency by default: any invoice, bill or payment can be raised in MUR, USD, EUR, GBP, ZAR or INR, with realized foreign-exchange gain or loss posted automatically on settlement.</w:t>
      </w:r>
    </w:p>
    <w:p>
      <w:pPr>
        <w:pStyle w:val="ListParagraph"/>
        <w:numPr>
          <w:ilvl w:val="0"/>
          <w:numId w:val="1"/>
        </w:numPr>
        <w:spacing w:after="90"/>
      </w:pPr>
      <w:r>
        <w:t xml:space="preserve">Portable and low-lock-in: runs on MySQL locally or PostgreSQL in production from the same codebase, and a full backup/restore is available in an open, database-agnostic format.</w:t>
      </w:r>
    </w:p>
    <w:p>
      <w:pPr>
        <w:pStyle w:val="ListParagraph"/>
        <w:numPr>
          <w:ilvl w:val="0"/>
          <w:numId w:val="1"/>
        </w:numPr>
        <w:spacing w:after="90"/>
      </w:pPr>
      <w:r>
        <w:t xml:space="preserve">Designed for a small team without a dedicated IT department: no server to maintain, automatic schema migrations, and sensible defaults everywhere.</w:t>
      </w:r>
    </w:p>
    <w:p>
      <w:pPr>
        <w:pStyle w:val="Heading1"/>
        <w:spacing w:after="200" w:before="400"/>
      </w:pPr>
      <w:r>
        <w:t xml:space="preserve">2. System Architecture &amp; Technology</w:t>
      </w:r>
    </w:p>
    <w:p>
      <w:pPr>
        <w:pStyle w:val="Heading2"/>
        <w:spacing w:after="150" w:before="300"/>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5F7FA" w:val="clear"/>
            <w:vAlign w:val="top"/>
          </w:tcPr>
          <w:p>
            <w:r>
              <w:rPr>
                <w:b/>
                <w:bCs/>
              </w:rPr>
              <w:t xml:space="preserve">Feature</w:t>
            </w:r>
          </w:p>
        </w:tc>
        <w:tc>
          <w:tcPr>
            <w:tcW w:type="dxa" w:w="6960"/>
            <w:shd w:fill="F5F7FA" w:val="clear"/>
            <w:vAlign w:val="top"/>
          </w:tcPr>
          <w:p>
            <w:r>
              <w:rPr>
                <w:b/>
                <w:bCs/>
              </w:rPr>
              <w:t xml:space="preserve">What it does / where to find it</w:t>
            </w:r>
          </w:p>
        </w:tc>
      </w:tr>
      <w:tr>
        <w:tc>
          <w:tcPr>
            <w:tcW w:type="dxa" w:w="2400"/>
            <w:vAlign w:val="top"/>
          </w:tcPr>
          <w:p>
            <w:r>
              <w:rPr>
                <w:b/>
                <w:bCs/>
              </w:rPr>
              <w:t xml:space="preserve">Backend</w:t>
            </w:r>
          </w:p>
        </w:tc>
        <w:tc>
          <w:tcPr>
            <w:tcW w:type="dxa" w:w="6960"/>
            <w:vAlign w:val="top"/>
          </w:tcPr>
          <w:p>
            <w:r>
              <w:rPr>
                <w:b w:val="false"/>
                <w:bCs w:val="false"/>
              </w:rPr>
              <w:t xml:space="preserve">Python 3.12, Flask, Flask-SQLAlchemy, Flask-Login</w:t>
            </w:r>
          </w:p>
        </w:tc>
      </w:tr>
      <w:tr>
        <w:tc>
          <w:tcPr>
            <w:tcW w:type="dxa" w:w="2400"/>
            <w:vAlign w:val="top"/>
          </w:tcPr>
          <w:p>
            <w:r>
              <w:rPr>
                <w:b/>
                <w:bCs/>
              </w:rPr>
              <w:t xml:space="preserve">Database</w:t>
            </w:r>
          </w:p>
        </w:tc>
        <w:tc>
          <w:tcPr>
            <w:tcW w:type="dxa" w:w="6960"/>
            <w:vAlign w:val="top"/>
          </w:tcPr>
          <w:p>
            <w:r>
              <w:rPr>
                <w:b w:val="false"/>
                <w:bCs w:val="false"/>
              </w:rPr>
              <w:t xml:space="preserve">PostgreSQL in production (Render), MySQL for local development — the same application code runs against either, unchanged</w:t>
            </w:r>
          </w:p>
        </w:tc>
      </w:tr>
      <w:tr>
        <w:tc>
          <w:tcPr>
            <w:tcW w:type="dxa" w:w="2400"/>
            <w:vAlign w:val="top"/>
          </w:tcPr>
          <w:p>
            <w:r>
              <w:rPr>
                <w:b/>
                <w:bCs/>
              </w:rPr>
              <w:t xml:space="preserve">Frontend</w:t>
            </w:r>
          </w:p>
        </w:tc>
        <w:tc>
          <w:tcPr>
            <w:tcW w:type="dxa" w:w="6960"/>
            <w:vAlign w:val="top"/>
          </w:tcPr>
          <w:p>
            <w:r>
              <w:rPr>
                <w:b w:val="false"/>
                <w:bCs w:val="false"/>
              </w:rPr>
              <w:t xml:space="preserve">Server-rendered HTML templates (Jinja2), vanilla JavaScript, Chart.js for graphical charts</w:t>
            </w:r>
          </w:p>
        </w:tc>
      </w:tr>
      <w:tr>
        <w:tc>
          <w:tcPr>
            <w:tcW w:type="dxa" w:w="2400"/>
            <w:vAlign w:val="top"/>
          </w:tcPr>
          <w:p>
            <w:r>
              <w:rPr>
                <w:b/>
                <w:bCs/>
              </w:rPr>
              <w:t xml:space="preserve">PDF generation</w:t>
            </w:r>
          </w:p>
        </w:tc>
        <w:tc>
          <w:tcPr>
            <w:tcW w:type="dxa" w:w="6960"/>
            <w:vAlign w:val="top"/>
          </w:tcPr>
          <w:p>
            <w:r>
              <w:rPr>
                <w:b w:val="false"/>
                <w:bCs w:val="false"/>
              </w:rPr>
              <w:t xml:space="preserve">ReportLab — invoices, bills, credit memos and a feature-summary sheet</w:t>
            </w:r>
          </w:p>
        </w:tc>
      </w:tr>
      <w:tr>
        <w:tc>
          <w:tcPr>
            <w:tcW w:type="dxa" w:w="2400"/>
            <w:vAlign w:val="top"/>
          </w:tcPr>
          <w:p>
            <w:r>
              <w:rPr>
                <w:b/>
                <w:bCs/>
              </w:rPr>
              <w:t xml:space="preserve">Background jobs</w:t>
            </w:r>
          </w:p>
        </w:tc>
        <w:tc>
          <w:tcPr>
            <w:tcW w:type="dxa" w:w="6960"/>
            <w:vAlign w:val="top"/>
          </w:tcPr>
          <w:p>
            <w:r>
              <w:rPr>
                <w:b w:val="false"/>
                <w:bCs w:val="false"/>
              </w:rPr>
              <w:t xml:space="preserve">APScheduler — daily checks for due recurring invoices and asset depreciation</w:t>
            </w:r>
          </w:p>
        </w:tc>
      </w:tr>
      <w:tr>
        <w:tc>
          <w:tcPr>
            <w:tcW w:type="dxa" w:w="2400"/>
            <w:vAlign w:val="top"/>
          </w:tcPr>
          <w:p>
            <w:r>
              <w:rPr>
                <w:b/>
                <w:bCs/>
              </w:rPr>
              <w:t xml:space="preserve">Hosting</w:t>
            </w:r>
          </w:p>
        </w:tc>
        <w:tc>
          <w:tcPr>
            <w:tcW w:type="dxa" w:w="6960"/>
            <w:vAlign w:val="top"/>
          </w:tcPr>
          <w:p>
            <w:r>
              <w:rPr>
                <w:b w:val="false"/>
                <w:bCs w:val="false"/>
              </w:rPr>
              <w:t xml:space="preserve">Render.com (free tier web service + managed Postgres)</w:t>
            </w:r>
          </w:p>
        </w:tc>
      </w:tr>
      <w:tr>
        <w:tc>
          <w:tcPr>
            <w:tcW w:type="dxa" w:w="2400"/>
            <w:vAlign w:val="top"/>
          </w:tcPr>
          <w:p>
            <w:r>
              <w:rPr>
                <w:b/>
                <w:bCs/>
              </w:rPr>
              <w:t xml:space="preserve">Source control</w:t>
            </w:r>
          </w:p>
        </w:tc>
        <w:tc>
          <w:tcPr>
            <w:tcW w:type="dxa" w:w="6960"/>
            <w:vAlign w:val="top"/>
          </w:tcPr>
          <w:p>
            <w:r>
              <w:rPr>
                <w:b w:val="false"/>
                <w:bCs w:val="false"/>
              </w:rPr>
              <w:t xml:space="preserve">GitHub — github.com/ceemalaraghavendrareddyreddy-ctrl/NovaByte-LedgerBooks</w:t>
            </w:r>
          </w:p>
        </w:tc>
      </w:tr>
    </w:tbl>
    <w:p>
      <w:pPr>
        <w:pStyle w:val="Heading2"/>
        <w:spacing w:after="150" w:before="300"/>
      </w:pPr>
      <w:r>
        <w:t xml:space="preserve">2.2 Design principles</w:t>
      </w:r>
    </w:p>
    <w:p>
      <w:pPr>
        <w:pStyle w:val="ListParagraph"/>
        <w:numPr>
          <w:ilvl w:val="0"/>
          <w:numId w:val="1"/>
        </w:numPr>
        <w:spacing w:after="90"/>
      </w:pPr>
      <w:r>
        <w:t xml:space="preserve">Accuracy first — no journal entry, of any kind, saves unless its debits and credits match to the cent. Automated postings (payroll, depreciation, recurring invoices) go through the exact same check as a manual entry.</w:t>
      </w:r>
    </w:p>
    <w:p>
      <w:pPr>
        <w:pStyle w:val="ListParagraph"/>
        <w:numPr>
          <w:ilvl w:val="0"/>
          <w:numId w:val="1"/>
        </w:numPr>
        <w:spacing w:after="90"/>
      </w:pPr>
      <w:r>
        <w:t xml:space="preserve">Built portable — a single build_database_uri() function switches between MySQL and PostgreSQL based on environment variables, so the same code runs identically in both places.</w:t>
      </w:r>
    </w:p>
    <w:p>
      <w:pPr>
        <w:pStyle w:val="ListParagraph"/>
        <w:numPr>
          <w:ilvl w:val="0"/>
          <w:numId w:val="1"/>
        </w:numPr>
        <w:spacing w:after="90"/>
      </w:pPr>
      <w:r>
        <w:t xml:space="preserve">No lock-in — a full backup is one click away, in an open JSON format, restorable to the exact row, on either database engine.</w:t>
      </w:r>
    </w:p>
    <w:p>
      <w:pPr>
        <w:pStyle w:val="ListParagraph"/>
        <w:numPr>
          <w:ilvl w:val="0"/>
          <w:numId w:val="1"/>
        </w:numPr>
        <w:spacing w:after="90"/>
      </w:pPr>
      <w:r>
        <w:t xml:space="preserve">Safe to deploy without shell access — an automatic startup check adds any new nullable column a fresh release needs, since Render's free tier does not provide command-line access to the running server.</w:t>
      </w:r>
    </w:p>
    <w:p>
      <w:pPr>
        <w:pStyle w:val="Heading1"/>
        <w:spacing w:after="200" w:before="400"/>
      </w:pPr>
      <w:r>
        <w:t xml:space="preserve">3. Multi-Company Structure &amp; User Access</w:t>
      </w:r>
    </w:p>
    <w:p>
      <w:pPr>
        <w:pStyle w:val="Heading2"/>
        <w:spacing w:after="150" w:before="300"/>
      </w:pPr>
      <w:r>
        <w:t xml:space="preserve">3.1 Companies</w:t>
      </w:r>
    </w:p>
    <w:p>
      <w:pPr>
        <w:spacing w:after="160"/>
      </w:pPr>
      <w:r>
        <w:t xml:space="preserve">Every business record — accounts, customers, invoices, journal entries — belongs to exactly one company. A single login can be granted access to more than one company (for example, an accountant serving several client businesses, or one group with several trading entities); a company switcher in the sidebar moves between them without logging out.</w:t>
      </w:r>
    </w:p>
    <w:p>
      <w:pPr>
        <w:pStyle w:val="Heading2"/>
        <w:spacing w:after="150" w:before="300"/>
      </w:pPr>
      <w:r>
        <w:t xml:space="preserve">3.2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5F7FA" w:val="clear"/>
            <w:vAlign w:val="top"/>
          </w:tcPr>
          <w:p>
            <w:r>
              <w:rPr>
                <w:b/>
                <w:bCs/>
              </w:rPr>
              <w:t xml:space="preserve">Feature</w:t>
            </w:r>
          </w:p>
        </w:tc>
        <w:tc>
          <w:tcPr>
            <w:tcW w:type="dxa" w:w="6960"/>
            <w:shd w:fill="F5F7FA" w:val="clear"/>
            <w:vAlign w:val="top"/>
          </w:tcPr>
          <w:p>
            <w:r>
              <w:rPr>
                <w:b/>
                <w:bCs/>
              </w:rPr>
              <w:t xml:space="preserve">What it does / where to find it</w:t>
            </w:r>
          </w:p>
        </w:tc>
      </w:tr>
      <w:tr>
        <w:tc>
          <w:tcPr>
            <w:tcW w:type="dxa" w:w="2400"/>
            <w:vAlign w:val="top"/>
          </w:tcPr>
          <w:p>
            <w:r>
              <w:rPr>
                <w:b/>
                <w:bCs/>
              </w:rPr>
              <w:t xml:space="preserve">Owner</w:t>
            </w:r>
          </w:p>
        </w:tc>
        <w:tc>
          <w:tcPr>
            <w:tcW w:type="dxa" w:w="6960"/>
            <w:vAlign w:val="top"/>
          </w:tcPr>
          <w:p>
            <w:r>
              <w:rPr>
                <w:b w:val="false"/>
                <w:bCs w:val="false"/>
              </w:rPr>
              <w:t xml:space="preserve">Full access to everything, including Settings, User Management, the Audit Log, and Backup &amp; Restore.</w:t>
            </w:r>
          </w:p>
        </w:tc>
      </w:tr>
      <w:tr>
        <w:tc>
          <w:tcPr>
            <w:tcW w:type="dxa" w:w="2400"/>
            <w:vAlign w:val="top"/>
          </w:tcPr>
          <w:p>
            <w:r>
              <w:rPr>
                <w:b/>
                <w:bCs/>
              </w:rPr>
              <w:t xml:space="preserve">Accountant (default for additional users)</w:t>
            </w:r>
          </w:p>
        </w:tc>
        <w:tc>
          <w:tcPr>
            <w:tcW w:type="dxa" w:w="6960"/>
            <w:vAlign w:val="top"/>
          </w:tcPr>
          <w:p>
            <w:r>
              <w:rPr>
                <w:b w:val="false"/>
                <w:bCs w:val="false"/>
              </w:rPr>
              <w:t xml:space="preserve">Full day-to-day bookkeeping access — invoices, bills, payments, banking, reports, reconciliation — but not account-level administration.</w:t>
            </w:r>
          </w:p>
        </w:tc>
      </w:tr>
    </w:tbl>
    <w:p>
      <w:pPr>
        <w:pStyle w:val="Heading2"/>
        <w:spacing w:after="150" w:before="300"/>
      </w:pPr>
      <w:r>
        <w:t xml:space="preserve">3.3 Granular module access</w:t>
      </w:r>
    </w:p>
    <w:p>
      <w:pPr>
        <w:spacing w:after="160"/>
      </w:pPr>
      <w:r>
        <w:t xml:space="preserve">Beyond the two roles, an owner can restrict any non-owner user to specific modules — Sales, Purchases, Banking, Inventory, Fixed Assets, Budgets, Accounting, or Reports — instead of the accountant role's full access. A user with no restriction set behaves exactly as before this existed. The sidebar hides sections a restricted user cannot reach, and the restriction is enforced on the server as well, not just hidden in the interface.</w:t>
      </w:r>
    </w:p>
    <w:p>
      <w:pPr>
        <w:pStyle w:val="Heading2"/>
        <w:spacing w:after="150" w:before="300"/>
      </w:pPr>
      <w:r>
        <w:t xml:space="preserve">3.4 Period locking</w:t>
      </w:r>
    </w:p>
    <w:p>
      <w:pPr>
        <w:spacing w:after="160"/>
      </w:pPr>
      <w:r>
        <w:t xml:space="preserve">Once a period's figures have been filed with the authorities, an owner can lock the books through a chosen date from Settings → Company. From that point, no journal entry — manual, or automatically posted from an invoice, bill, payment, transfer, or any other document — can be created, edited, or deleted with a date on or before the lock, for anyone, including the owner who set it. The lock is enforced centrally on the underlying ledger model itself, so it protects every posting path uniformly, including ones added after the lock feature shipped.</w:t>
      </w:r>
    </w:p>
    <w:p>
      <w:pPr>
        <w:pStyle w:val="Heading1"/>
        <w:spacing w:after="200" w:before="400"/>
      </w:pPr>
      <w:r>
        <w:t xml:space="preserve">4. Chart of Accounts &amp; the Double-Entry Ledger</w:t>
      </w:r>
    </w:p>
    <w:p>
      <w:pPr>
        <w:spacing w:after="160"/>
      </w:pPr>
      <w:r>
        <w:t xml:space="preserve">At the center of the system is a conventional chart of accounts (Asset, Liability, Equity, Income, Expense) and a journal of double-entry transactions. Every transaction in every module — an invoice, a bill, a payment, a bank transfer, a payroll run — ultimately posts as one balanced journal entry here; nothing bypasses this ledger.</w:t>
      </w:r>
    </w:p>
    <w:p>
      <w:pPr>
        <w:pStyle w:val="Heading2"/>
        <w:spacing w:after="150" w:before="300"/>
      </w:pPr>
      <w:r>
        <w:t xml:space="preserve">4.1 Starter chart of accounts</w:t>
      </w:r>
    </w:p>
    <w:p>
      <w:pPr>
        <w:spacing w:after="160"/>
      </w:pPr>
      <w:r>
        <w:t xml:space="preserve">Every new company is seeded automatically with a starter chart of accounts covering cash and bank, receivables and payables, VAT payable/receivable, owner's equity, standard income and expense categories, and the full set of statutory payroll liability accounts (PAYE, CSG, NSF, HRDC Levy, PRGF, Foreign Worker Levy, Net Salaries Payable, and other payroll deductions).</w:t>
      </w:r>
    </w:p>
    <w:p>
      <w:pPr>
        <w:pStyle w:val="Heading2"/>
        <w:spacing w:after="150" w:before="300"/>
      </w:pPr>
      <w:r>
        <w:t xml:space="preserve">4.2 Journal entries</w:t>
      </w:r>
    </w:p>
    <w:p>
      <w:pPr>
        <w:pStyle w:val="ListParagraph"/>
        <w:numPr>
          <w:ilvl w:val="0"/>
          <w:numId w:val="1"/>
        </w:numPr>
        <w:spacing w:after="90"/>
      </w:pPr>
      <w:r>
        <w:t xml:space="preserve">Manual journal entries can be created, edited (if not auto-posted by another module) and voided.</w:t>
      </w:r>
    </w:p>
    <w:p>
      <w:pPr>
        <w:pStyle w:val="ListParagraph"/>
        <w:numPr>
          <w:ilvl w:val="0"/>
          <w:numId w:val="1"/>
        </w:numPr>
        <w:spacing w:after="90"/>
      </w:pPr>
      <w:r>
        <w:t xml:space="preserve">Every automatically posted entry records which document created it (invoice, bill, payment, transfer, deposit, bank import, payroll import) and cannot be edited directly — the source document is edited or voided instead.</w:t>
      </w:r>
    </w:p>
    <w:p>
      <w:pPr>
        <w:pStyle w:val="Heading2"/>
        <w:spacing w:after="150" w:before="300"/>
      </w:pPr>
      <w:r>
        <w:t xml:space="preserve">4.3 Reports built directly on the ledger</w:t>
      </w:r>
    </w:p>
    <w:p>
      <w:pPr>
        <w:pStyle w:val="ListParagraph"/>
        <w:numPr>
          <w:ilvl w:val="0"/>
          <w:numId w:val="1"/>
        </w:numPr>
        <w:spacing w:after="90"/>
      </w:pPr>
      <w:r>
        <w:t xml:space="preserve">Trial Balance — as-of-date balances for every account.</w:t>
      </w:r>
    </w:p>
    <w:p>
      <w:pPr>
        <w:pStyle w:val="ListParagraph"/>
        <w:numPr>
          <w:ilvl w:val="0"/>
          <w:numId w:val="1"/>
        </w:numPr>
        <w:spacing w:after="90"/>
      </w:pPr>
      <w:r>
        <w:t xml:space="preserve">General Ledger — every account's activity for a chosen date range, with opening and closing balances, in one continuous document (the level of detail an external auditor asks for, one level below the Trial Balance's ending numbers).</w:t>
      </w:r>
    </w:p>
    <w:p>
      <w:pPr>
        <w:pStyle w:val="ListParagraph"/>
        <w:numPr>
          <w:ilvl w:val="0"/>
          <w:numId w:val="1"/>
        </w:numPr>
        <w:spacing w:after="90"/>
      </w:pPr>
      <w:r>
        <w:t xml:space="preserve">Chart of Accounts management — add, edit, and activate/deactivate accounts.</w:t>
      </w:r>
    </w:p>
    <w:p>
      <w:pPr>
        <w:pStyle w:val="Heading1"/>
        <w:spacing w:after="200" w:before="400"/>
      </w:pPr>
      <w:r>
        <w:t xml:space="preserve">5. Sales</w:t>
      </w:r>
    </w:p>
    <w:p>
      <w:pPr>
        <w:pStyle w:val="Heading2"/>
        <w:spacing w:after="150" w:before="300"/>
      </w:pPr>
      <w:r>
        <w:t xml:space="preserve">5.1 Customers</w:t>
      </w:r>
    </w:p>
    <w:p>
      <w:pPr>
        <w:spacing w:after="160"/>
      </w:pPr>
      <w:r>
        <w:t xml:space="preserve">Full customer records with contact details, VAT number, and an opening balance. Customers can be deactivated (hidden from new-document pickers) without deleting their history.</w:t>
      </w:r>
    </w:p>
    <w:p>
      <w:pPr>
        <w:pStyle w:val="Heading2"/>
        <w:spacing w:after="150" w:before="300"/>
      </w:pPr>
      <w:r>
        <w:t xml:space="preserve">5.2 Estimates (Quotes)</w:t>
      </w:r>
    </w:p>
    <w:p>
      <w:pPr>
        <w:spacing w:after="160"/>
      </w:pPr>
      <w:r>
        <w:t xml:space="preserve">Quotes that never touch the ledger until converted into a real invoice, at which point the invoice follows the normal posting path.</w:t>
      </w:r>
    </w:p>
    <w:p>
      <w:pPr>
        <w:pStyle w:val="Heading2"/>
        <w:spacing w:after="150" w:before="300"/>
      </w:pPr>
      <w:r>
        <w:t xml:space="preserve">5.3 Invoices</w:t>
      </w:r>
    </w:p>
    <w:p>
      <w:pPr>
        <w:pStyle w:val="ListParagraph"/>
        <w:numPr>
          <w:ilvl w:val="0"/>
          <w:numId w:val="1"/>
        </w:numPr>
        <w:spacing w:after="90"/>
      </w:pPr>
      <w:r>
        <w:t xml:space="preserve">Live preview — the invoice form shows a side-by-side preview of the printed invoice, updating as line items, dates, and the customer are entered.</w:t>
      </w:r>
    </w:p>
    <w:p>
      <w:pPr>
        <w:pStyle w:val="ListParagraph"/>
        <w:numPr>
          <w:ilvl w:val="0"/>
          <w:numId w:val="1"/>
        </w:numPr>
        <w:spacing w:after="90"/>
      </w:pPr>
      <w:r>
        <w:t xml:space="preserve">Multi-currency — any of MUR, USD, EUR, GBP, ZAR or INR, with an exchange rate booked at creation; a “Get today's rate” button offers a live suggested rate from a public exchange-rate source, always editable.</w:t>
      </w:r>
    </w:p>
    <w:p>
      <w:pPr>
        <w:pStyle w:val="ListParagraph"/>
        <w:numPr>
          <w:ilvl w:val="0"/>
          <w:numId w:val="1"/>
        </w:numPr>
        <w:spacing w:after="90"/>
      </w:pPr>
      <w:r>
        <w:t xml:space="preserve">Per-product VAT — each line can carry its own VAT rate (0% through 15%, or a custom rate for whatever the government sets next), overriding the invoice's own header rate — so one invoice can mix a zero-rated product with a standard-rated one.</w:t>
      </w:r>
    </w:p>
    <w:p>
      <w:pPr>
        <w:pStyle w:val="ListParagraph"/>
        <w:numPr>
          <w:ilvl w:val="0"/>
          <w:numId w:val="1"/>
        </w:numPr>
        <w:spacing w:after="90"/>
      </w:pPr>
      <w:r>
        <w:t xml:space="preserve">Inventory-aware — selecting a tracked item pulls its price and issues stock at moving-average cost, posting Cost of Goods Sold automatically.</w:t>
      </w:r>
    </w:p>
    <w:p>
      <w:pPr>
        <w:pStyle w:val="ListParagraph"/>
        <w:numPr>
          <w:ilvl w:val="0"/>
          <w:numId w:val="1"/>
        </w:numPr>
        <w:spacing w:after="90"/>
      </w:pPr>
      <w:r>
        <w:t xml:space="preserve">Project/branch tagging — an invoice can be tagged to a Project (see Section 10) for later filtered reporting.</w:t>
      </w:r>
    </w:p>
    <w:p>
      <w:pPr>
        <w:pStyle w:val="ListParagraph"/>
        <w:numPr>
          <w:ilvl w:val="0"/>
          <w:numId w:val="1"/>
        </w:numPr>
        <w:spacing w:after="90"/>
      </w:pPr>
      <w:r>
        <w:t xml:space="preserve">One-click Mark Paid — records a full-balance payment and posts it in a single action from the invoice list.</w:t>
      </w:r>
    </w:p>
    <w:p>
      <w:pPr>
        <w:pStyle w:val="ListParagraph"/>
        <w:numPr>
          <w:ilvl w:val="0"/>
          <w:numId w:val="1"/>
        </w:numPr>
        <w:spacing w:after="90"/>
      </w:pPr>
      <w:r>
        <w:t xml:space="preserve">PDF, print, and WhatsApp share — every invoice can be downloaded as a themed PDF or shared via a signed, time-limited link a customer can open without logging in.</w:t>
      </w:r>
    </w:p>
    <w:p>
      <w:pPr>
        <w:pStyle w:val="ListParagraph"/>
        <w:numPr>
          <w:ilvl w:val="0"/>
          <w:numId w:val="1"/>
        </w:numPr>
        <w:spacing w:after="90"/>
      </w:pPr>
      <w:r>
        <w:t xml:space="preserve">MRA fiscalisation — posted automatically (best-effort) at the moment of posting, with a retry queue for anything that could not reach the MRA bridge the first time.</w:t>
      </w:r>
    </w:p>
    <w:p>
      <w:pPr>
        <w:pStyle w:val="Heading2"/>
        <w:spacing w:after="150" w:before="300"/>
      </w:pPr>
      <w:r>
        <w:t xml:space="preserve">5.4 Recurring Invoices</w:t>
      </w:r>
    </w:p>
    <w:p>
      <w:pPr>
        <w:spacing w:after="160"/>
      </w:pPr>
      <w:r>
        <w:t xml:space="preserve">A template defines a customer, line items, and a frequency (weekly, monthly, quarterly, yearly); a daily background check generates the next invoice exactly when due, through the identical posting path a manually created invoice uses — a scheduled run and a manual “generate now” click produce identical results.</w:t>
      </w:r>
    </w:p>
    <w:p>
      <w:pPr>
        <w:pStyle w:val="Heading2"/>
        <w:spacing w:after="150" w:before="300"/>
      </w:pPr>
      <w:r>
        <w:t xml:space="preserve">5.5 Credit Memos</w:t>
      </w:r>
    </w:p>
    <w:p>
      <w:pPr>
        <w:spacing w:after="160"/>
      </w:pPr>
      <w:r>
        <w:t xml:space="preserve">Issued against a customer, optionally applied against one or more open invoices, and fiscalised with the MRA the same way an invoice is.</w:t>
      </w:r>
    </w:p>
    <w:p>
      <w:pPr>
        <w:pStyle w:val="Heading2"/>
        <w:spacing w:after="150" w:before="300"/>
      </w:pPr>
      <w:r>
        <w:t xml:space="preserve">5.6 Payments Received</w:t>
      </w:r>
    </w:p>
    <w:p>
      <w:pPr>
        <w:spacing w:after="160"/>
      </w:pPr>
      <w:r>
        <w:t xml:space="preserve">A payment can be applied across several open invoices at once, in the invoice's own currency, with realized foreign-exchange gain or loss posted automatically if the settlement rate differs from the invoice's booked rate.</w:t>
      </w:r>
    </w:p>
    <w:p>
      <w:pPr>
        <w:pStyle w:val="Heading2"/>
        <w:spacing w:after="150" w:before="300"/>
      </w:pPr>
      <w:r>
        <w:t xml:space="preserve">5.7 A/R Aging &amp; Reminders</w:t>
      </w:r>
    </w:p>
    <w:p>
      <w:pPr>
        <w:spacing w:after="160"/>
      </w:pPr>
      <w:r>
        <w:t xml:space="preserve">An aging report shows what is overdue and what is coming due; the Reminders page groups outstanding invoices by customer with a ready-to-send message per customer, and can dispatch that reminder by email directly if SMTP is configured in Settings.</w:t>
      </w:r>
    </w:p>
    <w:p>
      <w:pPr>
        <w:pStyle w:val="Heading1"/>
        <w:spacing w:after="200" w:before="400"/>
      </w:pPr>
      <w:r>
        <w:t xml:space="preserve">6. Purchases</w:t>
      </w:r>
    </w:p>
    <w:p>
      <w:pPr>
        <w:pStyle w:val="Heading2"/>
        <w:spacing w:after="150" w:before="300"/>
      </w:pPr>
      <w:r>
        <w:t xml:space="preserve">6.1 Vendors</w:t>
      </w:r>
    </w:p>
    <w:p>
      <w:pPr>
        <w:spacing w:after="160"/>
      </w:pPr>
      <w:r>
        <w:t xml:space="preserve">Vendor records with contact details, VAT number, opening balance, and (optionally) a Business Registration Number and MRA Supplier ID used only for the Statement of Goods and Services export.</w:t>
      </w:r>
    </w:p>
    <w:p>
      <w:pPr>
        <w:pStyle w:val="Heading2"/>
        <w:spacing w:after="150" w:before="300"/>
      </w:pPr>
      <w:r>
        <w:t xml:space="preserve">6.2 Purchase Orders</w:t>
      </w:r>
    </w:p>
    <w:p>
      <w:pPr>
        <w:spacing w:after="160"/>
      </w:pPr>
      <w:r>
        <w:t xml:space="preserve">Raised against a vendor and received in full or in part; a receipt can be billed directly, carrying its lines onto the resulting bill.</w:t>
      </w:r>
    </w:p>
    <w:p>
      <w:pPr>
        <w:pStyle w:val="Heading2"/>
        <w:spacing w:after="150" w:before="300"/>
      </w:pPr>
      <w:r>
        <w:t xml:space="preserve">6.3 Bills</w:t>
      </w:r>
    </w:p>
    <w:p>
      <w:pPr>
        <w:spacing w:after="160"/>
      </w:pPr>
      <w:r>
        <w:t xml:space="preserve">Mirrors the Invoice feature set: multi-currency, live exchange-rate suggestion, per-line VAT override, project tagging, PDF/print/WhatsApp share, and posting to the ledger as Dr Expense or Asset, Dr VAT Receivable, Cr Accounts Payable.</w:t>
      </w:r>
    </w:p>
    <w:p>
      <w:pPr>
        <w:pStyle w:val="Heading2"/>
        <w:spacing w:after="150" w:before="300"/>
      </w:pPr>
      <w:r>
        <w:t xml:space="preserve">6.4 Vendor Credits</w:t>
      </w:r>
    </w:p>
    <w:p>
      <w:pPr>
        <w:spacing w:after="160"/>
      </w:pPr>
      <w:r>
        <w:t xml:space="preserve">Issued against a vendor and applied against open bills.</w:t>
      </w:r>
    </w:p>
    <w:p>
      <w:pPr>
        <w:pStyle w:val="Heading2"/>
        <w:spacing w:after="150" w:before="300"/>
      </w:pPr>
      <w:r>
        <w:t xml:space="preserve">6.5 Payments Made (Pay Bills)</w:t>
      </w:r>
    </w:p>
    <w:p>
      <w:pPr>
        <w:spacing w:after="160"/>
      </w:pPr>
      <w:r>
        <w:t xml:space="preserve">Applies a payment across one or more open bills, with the same multi-currency and foreign-exchange handling as customer payments.</w:t>
      </w:r>
    </w:p>
    <w:p>
      <w:pPr>
        <w:pStyle w:val="Heading2"/>
        <w:spacing w:after="150" w:before="300"/>
      </w:pPr>
      <w:r>
        <w:t xml:space="preserve">6.6 A/P Aging</w:t>
      </w:r>
    </w:p>
    <w:p>
      <w:pPr>
        <w:spacing w:after="160"/>
      </w:pPr>
      <w:r>
        <w:t xml:space="preserve">What is owed and what is coming due, mirroring the sales-side aging report.</w:t>
      </w:r>
    </w:p>
    <w:p>
      <w:pPr>
        <w:pStyle w:val="Heading1"/>
        <w:spacing w:after="200" w:before="400"/>
      </w:pPr>
      <w:r>
        <w:t xml:space="preserve">7. Banking</w:t>
      </w:r>
    </w:p>
    <w:p>
      <w:pPr>
        <w:pStyle w:val="Heading2"/>
        <w:spacing w:after="150" w:before="300"/>
      </w:pPr>
      <w:r>
        <w:t xml:space="preserve">7.1 Accounts</w:t>
      </w:r>
    </w:p>
    <w:p>
      <w:pPr>
        <w:spacing w:after="160"/>
      </w:pPr>
      <w:r>
        <w:t xml:space="preserve">A dedicated page lists every active bank and cash account with its live balance and a link into its transaction history, with a shortcut to add a new bank account that pre-fills the correct account type behind the scenes.</w:t>
      </w:r>
    </w:p>
    <w:p>
      <w:pPr>
        <w:pStyle w:val="Heading2"/>
        <w:spacing w:after="150" w:before="300"/>
      </w:pPr>
      <w:r>
        <w:t xml:space="preserve">7.2 Reconciliation</w:t>
      </w:r>
    </w:p>
    <w:p>
      <w:pPr>
        <w:spacing w:after="160"/>
      </w:pPr>
      <w:r>
        <w:t xml:space="preserve">A guided workflow: enter a statement date and ending balance, tick off the transactions that appear on the real-world statement, and the system will not let the session be marked complete until the reconciled balance ties out exactly. A history of every past reconciliation is kept.</w:t>
      </w:r>
    </w:p>
    <w:p>
      <w:pPr>
        <w:pStyle w:val="Heading2"/>
        <w:spacing w:after="150" w:before="300"/>
      </w:pPr>
      <w:r>
        <w:t xml:space="preserve">7.3 Bank Statement Import</w:t>
      </w:r>
    </w:p>
    <w:p>
      <w:pPr>
        <w:spacing w:after="160"/>
      </w:pPr>
      <w:r>
        <w:t xml:space="preserve">A CSV bank statement can be imported against a chosen account; each line is automatically matched against existing uncleared ledger transactions where possible, and any unmatched line can be categorised to a Chart of Accounts entry to create a new transaction directly from the statement.</w:t>
      </w:r>
    </w:p>
    <w:p>
      <w:pPr>
        <w:pStyle w:val="Heading2"/>
        <w:spacing w:after="150" w:before="300"/>
      </w:pPr>
      <w:r>
        <w:t xml:space="preserve">7.4 Smart Category Suggestion (early / mocked)</w:t>
      </w:r>
    </w:p>
    <w:p>
      <w:pPr>
        <w:spacing w:after="160"/>
      </w:pPr>
      <w:r>
        <w:t xml:space="preserve">Reviewing an unmatched imported line, the category dropdown defaults to a suggested account, chosen in one of two ways: (1) if a similarly worded transaction has been categorised before on this account, the same category is suggested again — the system genuinely improves the more it is used; (2) otherwise, a small built-in dictionary matches common terms (rent, utilities, salaries, office supplies, fuel, bank charges, insurance, interest/refunds) to the correct account. This is explicitly an early, rule-based stand-in for a real AI model, clearly labelled as such in the interface, with no external service call and no cost per use; the suggestion is always fully editable.</w:t>
      </w:r>
    </w:p>
    <w:p>
      <w:pPr>
        <w:pStyle w:val="Heading2"/>
        <w:spacing w:after="150" w:before="300"/>
      </w:pPr>
      <w:r>
        <w:t xml:space="preserve">7.5 Transfers &amp; Deposits</w:t>
      </w:r>
    </w:p>
    <w:p>
      <w:pPr>
        <w:spacing w:after="160"/>
      </w:pPr>
      <w:r>
        <w:t xml:space="preserve">Funds can be moved directly between two accounts, or several undeposited customer payments can be batched into a single real-world bank deposit, matching how a paying-in slip actually works.</w:t>
      </w:r>
    </w:p>
    <w:p>
      <w:pPr>
        <w:pStyle w:val="Heading1"/>
        <w:spacing w:after="200" w:before="400"/>
      </w:pPr>
      <w:r>
        <w:t xml:space="preserve">8. Inventory</w:t>
      </w:r>
    </w:p>
    <w:p>
      <w:pPr>
        <w:spacing w:after="160"/>
      </w:pPr>
      <w:r>
        <w:t xml:space="preserve">Items can be Inventory (stock-tracked, moving-average cost, automatic COGS on sale), Non-Inventory, or Service. Each item carries a sales price, an optional default VAT rate (applied automatically wherever it is used, still overridable per line), and the income/inventory/COGS accounts it posts to. Stock adjustments and an opening-stock entry are supported, with every movement recorded against the item's history.</w:t>
      </w:r>
    </w:p>
    <w:p>
      <w:pPr>
        <w:pStyle w:val="Heading1"/>
        <w:spacing w:after="200" w:before="400"/>
      </w:pPr>
      <w:r>
        <w:t xml:space="preserve">9. Fixed Assets</w:t>
      </w:r>
    </w:p>
    <w:p>
      <w:pPr>
        <w:spacing w:after="160"/>
      </w:pPr>
      <w:r>
        <w:t xml:space="preserve">An asset register with straight-line depreciation, scheduled and posted automatically each period through a daily background check (the same “scheduled run = manual click” guarantee as recurring invoices), right through to disposal, at which point any resulting gain or loss is posted to its own account.</w:t>
      </w:r>
    </w:p>
    <w:p>
      <w:pPr>
        <w:pStyle w:val="Heading1"/>
        <w:spacing w:after="200" w:before="400"/>
      </w:pPr>
      <w:r>
        <w:t xml:space="preserve">10. Project / Branch / Cost-Center Tracking</w:t>
      </w:r>
    </w:p>
    <w:p>
      <w:pPr>
        <w:spacing w:after="160"/>
      </w:pPr>
      <w:r>
        <w:t xml:space="preserve">A single flexible tag list — named to fit however a company actually thinks about itself: branches, jobs, or cost centers. An invoice or bill can be tagged with one project at the whole-document level; the tag is carried onto the journal entry it posts, so Reports → Profit &amp; Loss can be filtered to a single project, or left unfiltered for the full, consolidated company-wide view. Untagged documents always appear in the consolidated view.</w:t>
      </w:r>
    </w:p>
    <w:p>
      <w:pPr>
        <w:spacing w:after="160"/>
      </w:pPr>
      <w:r>
        <w:t xml:space="preserve">This was verified live with a real example: a project named “Port Louis Branch” was created, an invoice tagged to it, and the filtered Profit &amp; Loss report was confirmed to show only that invoice, while the consolidated report continued to show the company total correctly including it.</w:t>
      </w:r>
    </w:p>
    <w:r>
      <w:rPr>
        <w:i/>
        <w:iCs/>
        <w:color w:val="6B7280"/>
      </w:rPr>
      <w:t xml:space="preserve">Not yet built: a full Balance Sheet broken down per project (balance-sheet accounts such as the bank account and VAT payable do not naturally split by project without further design work), and per-line (rather than whole-document) project tagging.</w:t>
    </w:r>
    <w:p>
      <w:pPr>
        <w:pStyle w:val="Heading1"/>
        <w:spacing w:after="200" w:before="400"/>
      </w:pPr>
      <w:r>
        <w:t xml:space="preserve">11. Budgets</w:t>
      </w:r>
    </w:p>
    <w:p>
      <w:pPr>
        <w:spacing w:after="160"/>
      </w:pPr>
      <w:r>
        <w:t xml:space="preserve">A budget figure can be entered per account per period; the Budget vs. Actual report compares it against what was actually posted for the same period.</w:t>
      </w:r>
    </w:p>
    <w:p>
      <w:pPr>
        <w:pStyle w:val="Heading1"/>
        <w:spacing w:after="200" w:before="400"/>
      </w:pPr>
      <w:r>
        <w:t xml:space="preserve">12. Reports &amp; Analytics</w:t>
      </w:r>
    </w:p>
    <w:p>
      <w:pPr>
        <w:pStyle w:val="Heading2"/>
        <w:spacing w:after="150" w:before="300"/>
      </w:pPr>
      <w:r>
        <w:t xml:space="preserve">12.1 Core financial statements</w:t>
      </w:r>
    </w:p>
    <w:p>
      <w:pPr>
        <w:pStyle w:val="ListParagraph"/>
        <w:numPr>
          <w:ilvl w:val="0"/>
          <w:numId w:val="1"/>
        </w:numPr>
        <w:spacing w:after="90"/>
      </w:pPr>
      <w:r>
        <w:t xml:space="preserve">Profit &amp; Loss — any date range from a single day to five years, with one-click presets (Today, Last 15 days, This month, This quarter, This year, Last 5 years), filterable by Project, and a graphical Income-vs-Expenses chart.</w:t>
      </w:r>
    </w:p>
    <w:p>
      <w:pPr>
        <w:pStyle w:val="ListParagraph"/>
        <w:numPr>
          <w:ilvl w:val="0"/>
          <w:numId w:val="1"/>
        </w:numPr>
        <w:spacing w:after="90"/>
      </w:pPr>
      <w:r>
        <w:t xml:space="preserve">Balance Sheet — as of any date.</w:t>
      </w:r>
    </w:p>
    <w:p>
      <w:pPr>
        <w:pStyle w:val="ListParagraph"/>
        <w:numPr>
          <w:ilvl w:val="0"/>
          <w:numId w:val="1"/>
        </w:numPr>
        <w:spacing w:after="90"/>
      </w:pPr>
      <w:r>
        <w:t xml:space="preserve">Cash Flow Statement — indirect method, with a graphical summary chart of Operating, Investing and Financing activity plus cash at the start and end of the period, and a reconciliation check against the real Cash/Bank balance.</w:t>
      </w:r>
    </w:p>
    <w:p>
      <w:pPr>
        <w:pStyle w:val="ListParagraph"/>
        <w:numPr>
          <w:ilvl w:val="0"/>
          <w:numId w:val="1"/>
        </w:numPr>
        <w:spacing w:after="90"/>
      </w:pPr>
      <w:r>
        <w:t xml:space="preserve">Trial Balance and General Ledger — see Section 4.3.</w:t>
      </w:r>
    </w:p>
    <w:p>
      <w:pPr>
        <w:pStyle w:val="Heading2"/>
        <w:spacing w:after="150" w:before="300"/>
      </w:pPr>
      <w:r>
        <w:t xml:space="preserve">12.2 Sales &amp; purchases breakdowns</w:t>
      </w:r>
    </w:p>
    <w:p>
      <w:pPr>
        <w:pStyle w:val="ListParagraph"/>
        <w:numPr>
          <w:ilvl w:val="0"/>
          <w:numId w:val="1"/>
        </w:numPr>
        <w:spacing w:after="90"/>
      </w:pPr>
      <w:r>
        <w:t xml:space="preserve">Sales by Customer and Sales by Item, each with a graphical bar chart of the top contributors.</w:t>
      </w:r>
    </w:p>
    <w:p>
      <w:pPr>
        <w:pStyle w:val="ListParagraph"/>
        <w:numPr>
          <w:ilvl w:val="0"/>
          <w:numId w:val="1"/>
        </w:numPr>
        <w:spacing w:after="90"/>
      </w:pPr>
      <w:r>
        <w:t xml:space="preserve">Purchases by Vendor and Purchases by Item, same treatment.</w:t>
      </w:r>
    </w:p>
    <w:p>
      <w:pPr>
        <w:pStyle w:val="Heading2"/>
        <w:spacing w:after="150" w:before="300"/>
      </w:pPr>
      <w:r>
        <w:t xml:space="preserve">12.3 Compliance reports</w:t>
      </w:r>
    </w:p>
    <w:p>
      <w:pPr>
        <w:pStyle w:val="ListParagraph"/>
        <w:numPr>
          <w:ilvl w:val="0"/>
          <w:numId w:val="1"/>
        </w:numPr>
        <w:spacing w:after="90"/>
      </w:pPr>
      <w:r>
        <w:t xml:space="preserve">VAT Return — output VAT collected on sales versus input VAT paid on purchases, net payable or refundable.</w:t>
      </w:r>
    </w:p>
    <w:p>
      <w:pPr>
        <w:pStyle w:val="ListParagraph"/>
        <w:numPr>
          <w:ilvl w:val="0"/>
          <w:numId w:val="1"/>
        </w:numPr>
        <w:spacing w:after="90"/>
      </w:pPr>
      <w:r>
        <w:t xml:space="preserve">Statement of Goods and Services (MRA) — see Section 13.2.</w:t>
      </w:r>
    </w:p>
    <w:p>
      <w:pPr>
        <w:pStyle w:val="Heading2"/>
        <w:spacing w:after="150" w:before="300"/>
      </w:pPr>
      <w:r>
        <w:t xml:space="preserve">12.4 Custom Report Builder</w:t>
      </w:r>
    </w:p>
    <w:p>
      <w:pPr>
        <w:spacing w:after="160"/>
      </w:pPr>
      <w:r>
        <w:t xml:space="preserve">Any combination of account type and subtype, over any date range or as-of date, can be built ad hoc and saved for reuse, with a CSV export.</w:t>
      </w:r>
    </w:p>
    <w:p>
      <w:pPr>
        <w:pStyle w:val="Heading2"/>
        <w:spacing w:after="150" w:before="300"/>
      </w:pPr>
      <w:r>
        <w:t xml:space="preserve">12.5 Graphical charts</w:t>
      </w:r>
    </w:p>
    <w:p>
      <w:pPr>
        <w:spacing w:after="160"/>
      </w:pPr>
      <w:r>
        <w:t xml:space="preserve">Charts are rendered with Chart.js, styled in the application's own teal/coral palette rather than a generic default look, and always computed from the exact same numbers shown in that page's table — the chart and the table can never disagree. Charts currently cover Profit &amp; Loss, the four Sales/Purchases breakdown reports, and Cash Flow; Balance Sheet, Aging, and the custom report builder are planned to follow the identical pattern.</w:t>
      </w:r>
    </w:p>
    <w:p>
      <w:pPr>
        <w:pStyle w:val="Heading1"/>
        <w:spacing w:after="200" w:before="400"/>
      </w:pPr>
      <w:r>
        <w:t xml:space="preserve">13. Mauritius Compliance</w:t>
      </w:r>
    </w:p>
    <w:p>
      <w:pPr>
        <w:pStyle w:val="Heading2"/>
        <w:spacing w:after="150" w:before="300"/>
      </w:pPr>
      <w:r>
        <w:t xml:space="preserve">13.1 MRA E-Invoice Fiscalisation</w:t>
      </w:r>
    </w:p>
    <w:p>
      <w:pPr>
        <w:spacing w:after="160"/>
      </w:pPr>
      <w:r>
        <w:t xml:space="preserve">Every invoice and credit memo is fiscalised automatically at the moment it is posted, through a bridge to the MRA_TaxInvoice_System service, configured per company from Settings. Fiscalisation is best-effort and never blocks or reverses the underlying ledger posting; anything that could not reach the service is queued and can be retried in bulk from the MRA Sync page, oldest first, invoices before credit memos (so a credit memo can reference an invoice that has itself just succeeded on retry).</w:t>
      </w:r>
    </w:p>
    <w:p>
      <w:pPr>
        <w:pStyle w:val="Heading2"/>
        <w:spacing w:after="150" w:before="300"/>
      </w:pPr>
      <w:r>
        <w:t xml:space="preserve">13.2 Statement of Goods and Services (SGS) Export</w:t>
      </w:r>
    </w:p>
    <w:p>
      <w:pPr>
        <w:spacing w:after="160"/>
      </w:pPr>
      <w:r>
        <w:t xml:space="preserve">The monthly purchase listing larger VAT-registered businesses must file alongside their VAT return. Generated from the system's own Bills, matching MRA's published CSV template column-for-column: invoice date, invoice number, supplier name, supplier BRN, supplier ID, description, amount excluding VAT, VAT amount, amount paid, and invoice type. Any bill whose vendor has no BRN or MRA Supplier ID on file exports with that column blank and is flagged with a warning before filing.</w:t>
      </w:r>
    </w:p>
    <w:p>
      <w:pPr>
        <w:pStyle w:val="Heading2"/>
        <w:spacing w:after="150" w:before="300"/>
      </w:pPr>
      <w:r>
        <w:t xml:space="preserve">13.3 VAT</w:t>
      </w:r>
    </w:p>
    <w:p>
      <w:pPr>
        <w:spacing w:after="160"/>
      </w:pPr>
      <w:r>
        <w:t xml:space="preserve">VAT is Mauritius-standard 15% by default at both the document level and, since the per-product VAT feature, at the individual line level — so a single invoice can correctly mix a zero-rated export line with a standard-rated line, per Section 5.3.</w:t>
      </w:r>
    </w:p>
    <w:p>
      <w:pPr>
        <w:pStyle w:val="Heading1"/>
        <w:spacing w:after="200" w:before="400"/>
      </w:pPr>
      <w:r>
        <w:t xml:space="preserve">14. Multi-Currency &amp; Foreign Exchange</w:t>
      </w:r>
    </w:p>
    <w:p>
      <w:pPr>
        <w:spacing w:after="160"/>
      </w:pPr>
      <w:r>
        <w:t xml:space="preserve">Each company has one base currency (defaulting to MUR) that every ledger entry and report is posted in, regardless of what currency an individual invoice, bill, or payment is issued or received in. A foreign-currency document books at whatever exchange rate is entered at creation; a “Get today's rate” button on invoices, bills, and payments offers a live, publicly sourced mid-market rate as a starting point — fetched only on click, never automatically, and always editable, since an official bank or MRA rate may differ from a market rate.</w:t>
      </w:r>
    </w:p>
    <w:p>
      <w:pPr>
        <w:spacing w:after="160"/>
      </w:pPr>
      <w:r>
        <w:t xml:space="preserve">When a foreign-currency invoice or bill is settled at a different rate than it was booked at, the realized gain or loss is calculated and posted automatically to its own ledger account, exactly as a manual currency adjustment would be, without any extra step for the user.</w:t>
      </w:r>
    </w:p>
    <w:p>
      <w:pPr>
        <w:pStyle w:val="Heading1"/>
        <w:spacing w:after="200" w:before="400"/>
      </w:pPr>
      <w:r>
        <w:t xml:space="preserve">15. Payroll Integration</w:t>
      </w:r>
    </w:p>
    <w:p>
      <w:pPr>
        <w:spacing w:after="160"/>
      </w:pPr>
      <w:r>
        <w:t xml:space="preserve">An inbound bridge lets an external payroll system push one summarized journal entry per finalized payroll run, authenticated with a per-company API key generated from Settings → Company → Payroll Integration. The entry posts gross salaries and the employer's statutory contributions as expenses, and every statutory liability (PAYE, CSG, NSF, HRDC Levy, PRGF, Foreign Worker Levy, other deductions, and net salaries payable) as its own account — the same breakdown an accountant would post by hand. Re-pushing the same period updates the existing entry rather than creating a duplicate, so a retried or corrected push never doubles the numbers.</w:t>
      </w:r>
    </w:p>
    <w:p>
      <w:pPr>
        <w:spacing w:after="160"/>
      </w:pPr>
      <w:r>
        <w:t xml:space="preserve">This integration was verified end-to-end against a real production payroll run (458 employees) before this documentation was written, and again confirmed to interact correctly with the period-locking feature: pushing a payroll run into a locked period is rejected with a clear error rather than silently failing or corrupting the request.</w:t>
      </w:r>
    </w:p>
    <w:p>
      <w:pPr>
        <w:pStyle w:val="Heading1"/>
        <w:spacing w:after="200" w:before="400"/>
      </w:pPr>
      <w:r>
        <w:t xml:space="preserve">16. Document Sharing &amp; Communication</w:t>
      </w:r>
    </w:p>
    <w:p>
      <w:pPr>
        <w:pStyle w:val="Heading2"/>
        <w:spacing w:after="150" w:before="300"/>
      </w:pPr>
      <w:r>
        <w:t xml:space="preserve">16.1 PDF generation and themes</w:t>
      </w:r>
    </w:p>
    <w:p>
      <w:pPr>
        <w:spacing w:after="160"/>
      </w:pPr>
      <w:r>
        <w:t xml:space="preserve">Invoices, bills, and credit memos can each be downloaded as a PDF in one of three themes (Classic, Minimal, Coral), selected once in Settings or overridden per document.</w:t>
      </w:r>
    </w:p>
    <w:p>
      <w:pPr>
        <w:pStyle w:val="Heading2"/>
        <w:spacing w:after="150" w:before="300"/>
      </w:pPr>
      <w:r>
        <w:t xml:space="preserve">16.2 WhatsApp / signed share links</w:t>
      </w:r>
    </w:p>
    <w:p>
      <w:pPr>
        <w:spacing w:after="160"/>
      </w:pPr>
      <w:r>
        <w:t xml:space="preserve">Any invoice, bill, or credit memo can be shared via a signed, time-limited link (45 days) that a customer or vendor can open and view without logging into the system at all — built without a paid WhatsApp Business API.</w:t>
      </w:r>
    </w:p>
    <w:p>
      <w:pPr>
        <w:pStyle w:val="Heading2"/>
        <w:spacing w:after="150" w:before="300"/>
      </w:pPr>
      <w:r>
        <w:t xml:space="preserve">16.3 Payment reminder emails</w:t>
      </w:r>
    </w:p>
    <w:p>
      <w:pPr>
        <w:spacing w:after="160"/>
      </w:pPr>
      <w:r>
        <w:t xml:space="preserve">Configured once with an outgoing SMTP server in Settings; the Reminders page can then dispatch a reminder email directly, or fall back to a copy-ready message if SMTP is not configured.</w:t>
      </w:r>
    </w:p>
    <w:p>
      <w:pPr>
        <w:pStyle w:val="Heading2"/>
        <w:spacing w:after="150" w:before="300"/>
      </w:pPr>
      <w:r>
        <w:t xml:space="preserve">16.4 Global search</w:t>
      </w:r>
    </w:p>
    <w:p>
      <w:pPr>
        <w:spacing w:after="160"/>
      </w:pPr>
      <w:r>
        <w:t xml:space="preserve">A debounced search box in the top bar searches customers, vendors, invoices, bills, and items simultaneously, with results clearly labelled by category and full keyboard navigation.</w:t>
      </w:r>
    </w:p>
    <w:p>
      <w:pPr>
        <w:pStyle w:val="Heading1"/>
        <w:spacing w:after="200" w:before="400"/>
      </w:pPr>
      <w:r>
        <w:t xml:space="preserve">17. Backup &amp; Restore</w:t>
      </w:r>
    </w:p>
    <w:p>
      <w:pPr>
        <w:spacing w:after="160"/>
      </w:pPr>
      <w:r>
        <w:t xml:space="preserve">A complete, database-agnostic snapshot of every table in the company's books can be downloaded as a single compressed file at any time, and restored from that same file later — the same code path works identically whether the company runs on MySQL or PostgreSQL, since it goes through the ORM rather than a database-specific command-line tool. A restore replaces all current data in one transaction: either the whole restore succeeds, or none of it does.</w:t>
      </w:r>
    </w:p>
    <w:p>
      <w:pPr>
        <w:pStyle w:val="Heading1"/>
        <w:spacing w:after="200" w:before="400"/>
      </w:pPr>
      <w:r>
        <w:t xml:space="preserve">18. Security, Access Control &amp; Audit</w:t>
      </w:r>
    </w:p>
    <w:p>
      <w:pPr>
        <w:pStyle w:val="ListParagraph"/>
        <w:numPr>
          <w:ilvl w:val="0"/>
          <w:numId w:val="1"/>
        </w:numPr>
        <w:spacing w:after="90"/>
      </w:pPr>
      <w:r>
        <w:t xml:space="preserve">Role-based access (Owner / Accountant) plus optional per-module restrictions for any non-owner user — see Section 3.3.</w:t>
      </w:r>
    </w:p>
    <w:p>
      <w:pPr>
        <w:pStyle w:val="ListParagraph"/>
        <w:numPr>
          <w:ilvl w:val="0"/>
          <w:numId w:val="1"/>
        </w:numPr>
        <w:spacing w:after="90"/>
      </w:pPr>
      <w:r>
        <w:t xml:space="preserve">Period locking — see Section 3.4.</w:t>
      </w:r>
    </w:p>
    <w:p>
      <w:pPr>
        <w:pStyle w:val="ListParagraph"/>
        <w:numPr>
          <w:ilvl w:val="0"/>
          <w:numId w:val="1"/>
        </w:numPr>
        <w:spacing w:after="90"/>
      </w:pPr>
      <w:r>
        <w:t xml:space="preserve">A full audit log records who did what and when across the system.</w:t>
      </w:r>
    </w:p>
    <w:p>
      <w:pPr>
        <w:pStyle w:val="ListParagraph"/>
        <w:numPr>
          <w:ilvl w:val="0"/>
          <w:numId w:val="1"/>
        </w:numPr>
        <w:spacing w:after="90"/>
      </w:pPr>
      <w:r>
        <w:t xml:space="preserve">Passwords are hashed; API keys (MRA, payroll bridge) are generated by the system itself and never typed in from an external source.</w:t>
      </w:r>
    </w:p>
    <w:p>
      <w:pPr>
        <w:pStyle w:val="ListParagraph"/>
        <w:numPr>
          <w:ilvl w:val="0"/>
          <w:numId w:val="1"/>
        </w:numPr>
        <w:spacing w:after="90"/>
      </w:pPr>
      <w:r>
        <w:t xml:space="preserve">Every business record is scoped to its own company at the database level — a user can only ever see and act on companies they have been explicitly granted access to.</w:t>
      </w:r>
    </w:p>
    <w:p>
      <w:pPr>
        <w:pStyle w:val="Heading1"/>
        <w:spacing w:after="200" w:before="400"/>
      </w:pPr>
      <w:r>
        <w:t xml:space="preserve">19. AI-Assisted Features</w:t>
      </w:r>
    </w:p>
    <w:p>
      <w:pPr>
        <w:spacing w:after="160"/>
      </w:pPr>
      <w:r>
        <w:t xml:space="preserve">Three features were requested under the umbrella of “AI model”. All three are deliberately built as mocks for now — no external model call, no cost per use — with real wiring to an actual AI service intentionally deferred until there is a confirmed need and budget for it. Each is honest in the interface about being an early version, and each computes its output from real data rather than inventing numbers.</w:t>
      </w:r>
    </w:p>
    <w:p>
      <w:pPr>
        <w:pStyle w:val="Heading2"/>
        <w:spacing w:after="150" w:before="300"/>
      </w:pPr>
      <w:r>
        <w:t xml:space="preserve">19.1 Smart Category Suggestion</w:t>
      </w:r>
    </w:p>
    <w:p>
      <w:pPr>
        <w:spacing w:after="160"/>
      </w:pPr>
      <w:r>
        <w:t xml:space="preserve">See Section 7.4.</w:t>
      </w:r>
    </w:p>
    <w:p>
      <w:pPr>
        <w:pStyle w:val="Heading2"/>
        <w:spacing w:after="150" w:before="300"/>
      </w:pPr>
      <w:r>
        <w:t xml:space="preserve">19.2 Ask Your Books</w:t>
      </w:r>
    </w:p>
    <w:p>
      <w:pPr>
        <w:spacing w:after="160"/>
      </w:pPr>
      <w:r>
        <w:t xml:space="preserve">A plain-English question box that recognises a fixed set of question shapes by keyword — net profit or loss, spending by category, total sales, who owes the company money, who the company owes, and cash on hand, each with an optional time period — and answers with a number computed live from the actual ledger. A question outside that fixed set says so plainly, with example questions shown, rather than guessing at an answer.</w:t>
      </w:r>
    </w:p>
    <w:p>
      <w:pPr>
        <w:pStyle w:val="Heading2"/>
        <w:spacing w:after="150" w:before="300"/>
      </w:pPr>
      <w:r>
        <w:t xml:space="preserve">19.3 Anomaly Check</w:t>
      </w:r>
    </w:p>
    <w:p>
      <w:pPr>
        <w:spacing w:after="160"/>
      </w:pPr>
      <w:r>
        <w:t xml:space="preserve">Three rule-based checks, each a genuine statistical comparison against the company's own transaction history rather than a guess: an invoice or bill more than three times a customer's or vendor's own historical average (once enough history exists to know what “usual” looks like), and same-vendor bills of the same amount within seven days of each other, which catches the common double-entry mistake.</w:t>
      </w:r>
    </w:p>
    <w:p>
      <w:pPr>
        <w:pStyle w:val="Heading1"/>
        <w:spacing w:after="200" w:before="400"/>
      </w:pPr>
      <w:r>
        <w:t xml:space="preserve">20. Settings &amp; Customization</w:t>
      </w:r>
    </w:p>
    <w:p>
      <w:pPr>
        <w:pStyle w:val="ListParagraph"/>
        <w:numPr>
          <w:ilvl w:val="0"/>
          <w:numId w:val="1"/>
        </w:numPr>
        <w:spacing w:after="90"/>
      </w:pPr>
      <w:r>
        <w:t xml:space="preserve">Company identity — name, address, VAT number, invoice footer note, and a logo (shown in the sidebar and on every invoice PDF).</w:t>
      </w:r>
    </w:p>
    <w:p>
      <w:pPr>
        <w:pStyle w:val="ListParagraph"/>
        <w:numPr>
          <w:ilvl w:val="0"/>
          <w:numId w:val="1"/>
        </w:numPr>
        <w:spacing w:after="90"/>
      </w:pPr>
      <w:r>
        <w:t xml:space="preserve">Base currency, selectable from MUR, USD, EUR, GBP, ZAR, or INR.</w:t>
      </w:r>
    </w:p>
    <w:p>
      <w:pPr>
        <w:pStyle w:val="ListParagraph"/>
        <w:numPr>
          <w:ilvl w:val="0"/>
          <w:numId w:val="1"/>
        </w:numPr>
        <w:spacing w:after="90"/>
      </w:pPr>
      <w:r>
        <w:t xml:space="preserve">Invoice PDF theme (Classic / Minimal / Coral).</w:t>
      </w:r>
    </w:p>
    <w:p>
      <w:pPr>
        <w:pStyle w:val="ListParagraph"/>
        <w:numPr>
          <w:ilvl w:val="0"/>
          <w:numId w:val="1"/>
        </w:numPr>
        <w:spacing w:after="90"/>
      </w:pPr>
      <w:r>
        <w:t xml:space="preserve">SMTP configuration for reminder emails.</w:t>
      </w:r>
    </w:p>
    <w:p>
      <w:pPr>
        <w:pStyle w:val="ListParagraph"/>
        <w:numPr>
          <w:ilvl w:val="0"/>
          <w:numId w:val="1"/>
        </w:numPr>
        <w:spacing w:after="90"/>
      </w:pPr>
      <w:r>
        <w:t xml:space="preserve">MRA fiscalisation connection (API URL and key, per company).</w:t>
      </w:r>
    </w:p>
    <w:p>
      <w:pPr>
        <w:pStyle w:val="ListParagraph"/>
        <w:numPr>
          <w:ilvl w:val="0"/>
          <w:numId w:val="1"/>
        </w:numPr>
        <w:spacing w:after="90"/>
      </w:pPr>
      <w:r>
        <w:t xml:space="preserve">Payroll bridge API key (generate/regenerate).</w:t>
      </w:r>
    </w:p>
    <w:p>
      <w:pPr>
        <w:pStyle w:val="ListParagraph"/>
        <w:numPr>
          <w:ilvl w:val="0"/>
          <w:numId w:val="1"/>
        </w:numPr>
        <w:spacing w:after="90"/>
      </w:pPr>
      <w:r>
        <w:t xml:space="preserve">Period lock date.</w:t>
      </w:r>
    </w:p>
    <w:p>
      <w:pPr>
        <w:pStyle w:val="ListParagraph"/>
        <w:numPr>
          <w:ilvl w:val="0"/>
          <w:numId w:val="1"/>
        </w:numPr>
        <w:spacing w:after="90"/>
      </w:pPr>
      <w:r>
        <w:t xml:space="preserve">User management — create, edit, deactivate users; grant or revoke access to additional companies; set per-module restrictions.</w:t>
      </w:r>
    </w:p>
    <w:p>
      <w:pPr>
        <w:pStyle w:val="Heading1"/>
        <w:spacing w:after="200" w:before="400"/>
      </w:pPr>
      <w:r>
        <w:t xml:space="preserve">21. Public Marketing Website</w:t>
      </w:r>
    </w:p>
    <w:p>
      <w:pPr>
        <w:spacing w:after="160"/>
      </w:pPr>
      <w:r>
        <w:t xml:space="preserve">Visiting the product's own URL while signed out shows a full marketing site rather than an immediate login prompt: Home, Features, Pricing, About, and Contact, all on one page with instant section-switching. A “Sign In” link takes a returning user to the login form; everything else is aimed at a prospective client.</w:t>
      </w:r>
    </w:p>
    <w:p>
      <w:pPr>
        <w:pStyle w:val="ListParagraph"/>
        <w:numPr>
          <w:ilvl w:val="0"/>
          <w:numId w:val="1"/>
        </w:numPr>
        <w:spacing w:after="90"/>
      </w:pPr>
      <w:r>
        <w:t xml:space="preserve">Pricing is deliberately left blank on each of three tiers (Starter, Growth, Enterprise), directly editable in the browser, so a specific quote can be filled in per client before the page is shared, without needing to rebuild it.</w:t>
      </w:r>
    </w:p>
    <w:p>
      <w:pPr>
        <w:pStyle w:val="ListParagraph"/>
        <w:numPr>
          <w:ilvl w:val="0"/>
          <w:numId w:val="1"/>
        </w:numPr>
        <w:spacing w:after="90"/>
      </w:pPr>
      <w:r>
        <w:t xml:space="preserve">A live digital business-card QR code on the Contact page: scanning it with any phone camera offers to save the business's contact details directly, with no app and no typing, generated from whatever is currently filled in on the same page.</w:t>
      </w:r>
    </w:p>
    <w:p>
      <w:pPr>
        <w:pStyle w:val="ListParagraph"/>
        <w:numPr>
          <w:ilvl w:val="0"/>
          <w:numId w:val="1"/>
        </w:numPr>
        <w:spacing w:after="90"/>
      </w:pPr>
      <w:r>
        <w:t xml:space="preserve">The same visual design system (typography, color palette, layout) as the application itself, so the marketing site and the product it is selling look like one coherent piece of work.</w:t>
      </w:r>
    </w:p>
    <w:p>
      <w:pPr>
        <w:pStyle w:val="Heading1"/>
        <w:spacing w:after="200" w:before="400"/>
      </w:pPr>
      <w:r>
        <w:t xml:space="preserve">22. Deployment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5F7FA" w:val="clear"/>
            <w:vAlign w:val="top"/>
          </w:tcPr>
          <w:p>
            <w:r>
              <w:rPr>
                <w:b/>
                <w:bCs/>
              </w:rPr>
              <w:t xml:space="preserve">Feature</w:t>
            </w:r>
          </w:p>
        </w:tc>
        <w:tc>
          <w:tcPr>
            <w:tcW w:type="dxa" w:w="6960"/>
            <w:shd w:fill="F5F7FA" w:val="clear"/>
            <w:vAlign w:val="top"/>
          </w:tcPr>
          <w:p>
            <w:r>
              <w:rPr>
                <w:b/>
                <w:bCs/>
              </w:rPr>
              <w:t xml:space="preserve">What it does / where to find it</w:t>
            </w:r>
          </w:p>
        </w:tc>
      </w:tr>
      <w:tr>
        <w:tc>
          <w:tcPr>
            <w:tcW w:type="dxa" w:w="2400"/>
            <w:vAlign w:val="top"/>
          </w:tcPr>
          <w:p>
            <w:r>
              <w:rPr>
                <w:b/>
                <w:bCs/>
              </w:rPr>
              <w:t xml:space="preserve">Hosting</w:t>
            </w:r>
          </w:p>
        </w:tc>
        <w:tc>
          <w:tcPr>
            <w:tcW w:type="dxa" w:w="6960"/>
            <w:vAlign w:val="top"/>
          </w:tcPr>
          <w:p>
            <w:r>
              <w:rPr>
                <w:b w:val="false"/>
                <w:bCs w:val="false"/>
              </w:rPr>
              <w:t xml:space="preserve">Render.com, free tier — web service plus a managed PostgreSQL database, deployed from render.yaml (Infrastructure as Code)</w:t>
            </w:r>
          </w:p>
        </w:tc>
      </w:tr>
      <w:tr>
        <w:tc>
          <w:tcPr>
            <w:tcW w:type="dxa" w:w="2400"/>
            <w:vAlign w:val="top"/>
          </w:tcPr>
          <w:p>
            <w:r>
              <w:rPr>
                <w:b/>
                <w:bCs/>
              </w:rPr>
              <w:t xml:space="preserve">Source control</w:t>
            </w:r>
          </w:p>
        </w:tc>
        <w:tc>
          <w:tcPr>
            <w:tcW w:type="dxa" w:w="6960"/>
            <w:vAlign w:val="top"/>
          </w:tcPr>
          <w:p>
            <w:r>
              <w:rPr>
                <w:b w:val="false"/>
                <w:bCs w:val="false"/>
              </w:rPr>
              <w:t xml:space="preserve">GitHub, deploys automatically on every push to the main branch</w:t>
            </w:r>
          </w:p>
        </w:tc>
      </w:tr>
      <w:tr>
        <w:tc>
          <w:tcPr>
            <w:tcW w:type="dxa" w:w="2400"/>
            <w:vAlign w:val="top"/>
          </w:tcPr>
          <w:p>
            <w:r>
              <w:rPr>
                <w:b/>
                <w:bCs/>
              </w:rPr>
              <w:t xml:space="preserve">Local development</w:t>
            </w:r>
          </w:p>
        </w:tc>
        <w:tc>
          <w:tcPr>
            <w:tcW w:type="dxa" w:w="6960"/>
            <w:vAlign w:val="top"/>
          </w:tcPr>
          <w:p>
            <w:r>
              <w:rPr>
                <w:b w:val="false"/>
                <w:bCs w:val="false"/>
              </w:rPr>
              <w:t xml:space="preserve">Runs against a local MySQL database from the same codebase</w:t>
            </w:r>
          </w:p>
        </w:tc>
      </w:tr>
      <w:tr>
        <w:tc>
          <w:tcPr>
            <w:tcW w:type="dxa" w:w="2400"/>
            <w:vAlign w:val="top"/>
          </w:tcPr>
          <w:p>
            <w:r>
              <w:rPr>
                <w:b/>
                <w:bCs/>
              </w:rPr>
              <w:t xml:space="preserve">Cold start</w:t>
            </w:r>
          </w:p>
        </w:tc>
        <w:tc>
          <w:tcPr>
            <w:tcW w:type="dxa" w:w="6960"/>
            <w:vAlign w:val="top"/>
          </w:tcPr>
          <w:p>
            <w:r>
              <w:rPr>
                <w:b w:val="false"/>
                <w:bCs w:val="false"/>
              </w:rPr>
              <w:t xml:space="preserve">The free-tier web service sleeps after roughly 15 minutes idle; the first request after that takes 20–50 seconds to wake</w:t>
            </w:r>
          </w:p>
        </w:tc>
      </w:tr>
      <w:tr>
        <w:tc>
          <w:tcPr>
            <w:tcW w:type="dxa" w:w="2400"/>
            <w:vAlign w:val="top"/>
          </w:tcPr>
          <w:p>
            <w:r>
              <w:rPr>
                <w:b/>
                <w:bCs/>
              </w:rPr>
              <w:t xml:space="preserve">Schema migrations</w:t>
            </w:r>
          </w:p>
        </w:tc>
        <w:tc>
          <w:tcPr>
            <w:tcW w:type="dxa" w:w="6960"/>
            <w:vAlign w:val="top"/>
          </w:tcPr>
          <w:p>
            <w:r>
              <w:rPr>
                <w:b w:val="false"/>
                <w:bCs w:val="false"/>
              </w:rPr>
              <w:t xml:space="preserve">Applied automatically at startup — a conservative check adds any new nullable column a release needs, since the free tier has no shell access to run a migration script manually</w:t>
            </w:r>
          </w:p>
        </w:tc>
      </w:tr>
    </w:tbl>
    <w:p>
      <w:pPr>
        <w:spacing w:after="160"/>
      </w:pPr>
      <w:r>
        <w:t xml:space="preserve">A second, fully isolated deployment (its own service and its own database) was scoped for demo purposes, so that demo data never risks touching real company data on the same database — this depends on Render's free-tier database allowance and was left for the account owner to complete via the Render dashboard.</w:t>
      </w:r>
    </w:p>
    <w:p>
      <w:pPr>
        <w:pStyle w:val="Heading1"/>
        <w:spacing w:after="200" w:before="400"/>
      </w:pPr>
      <w:r>
        <w:t xml:space="preserve">23. Demo Environment</w:t>
      </w:r>
    </w:p>
    <w:p>
      <w:pPr>
        <w:spacing w:after="160"/>
      </w:pPr>
      <w:r>
        <w:t xml:space="preserve">A fictitious demo company, “Atlas Trading Co Ltd”, is seeded on the live production system for client demonstrations, entirely separate from any real company's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5F7FA" w:val="clear"/>
            <w:vAlign w:val="top"/>
          </w:tcPr>
          <w:p>
            <w:r>
              <w:rPr>
                <w:b/>
                <w:bCs/>
              </w:rPr>
              <w:t xml:space="preserve">Feature</w:t>
            </w:r>
          </w:p>
        </w:tc>
        <w:tc>
          <w:tcPr>
            <w:tcW w:type="dxa" w:w="6960"/>
            <w:shd w:fill="F5F7FA" w:val="clear"/>
            <w:vAlign w:val="top"/>
          </w:tcPr>
          <w:p>
            <w:r>
              <w:rPr>
                <w:b/>
                <w:bCs/>
              </w:rPr>
              <w:t xml:space="preserve">What it does / where to find it</w:t>
            </w:r>
          </w:p>
        </w:tc>
      </w:tr>
      <w:tr>
        <w:tc>
          <w:tcPr>
            <w:tcW w:type="dxa" w:w="2400"/>
            <w:vAlign w:val="top"/>
          </w:tcPr>
          <w:p>
            <w:r>
              <w:rPr>
                <w:b/>
                <w:bCs/>
              </w:rPr>
              <w:t xml:space="preserve">URL</w:t>
            </w:r>
          </w:p>
        </w:tc>
        <w:tc>
          <w:tcPr>
            <w:tcW w:type="dxa" w:w="6960"/>
            <w:vAlign w:val="top"/>
          </w:tcPr>
          <w:p>
            <w:r>
              <w:rPr>
                <w:b w:val="false"/>
                <w:bCs w:val="false"/>
              </w:rPr>
              <w:t xml:space="preserve">ledgerbooks.onrender.com</w:t>
            </w:r>
          </w:p>
        </w:tc>
      </w:tr>
      <w:tr>
        <w:tc>
          <w:tcPr>
            <w:tcW w:type="dxa" w:w="2400"/>
            <w:vAlign w:val="top"/>
          </w:tcPr>
          <w:p>
            <w:r>
              <w:rPr>
                <w:b/>
                <w:bCs/>
              </w:rPr>
              <w:t xml:space="preserve">Username</w:t>
            </w:r>
          </w:p>
        </w:tc>
        <w:tc>
          <w:tcPr>
            <w:tcW w:type="dxa" w:w="6960"/>
            <w:vAlign w:val="top"/>
          </w:tcPr>
          <w:p>
            <w:r>
              <w:rPr>
                <w:b w:val="false"/>
                <w:bCs w:val="false"/>
              </w:rPr>
              <w:t xml:space="preserve">demo</w:t>
            </w:r>
          </w:p>
        </w:tc>
      </w:tr>
      <w:tr>
        <w:tc>
          <w:tcPr>
            <w:tcW w:type="dxa" w:w="2400"/>
            <w:vAlign w:val="top"/>
          </w:tcPr>
          <w:p>
            <w:r>
              <w:rPr>
                <w:b/>
                <w:bCs/>
              </w:rPr>
              <w:t xml:space="preserve">Password</w:t>
            </w:r>
          </w:p>
        </w:tc>
        <w:tc>
          <w:tcPr>
            <w:tcW w:type="dxa" w:w="6960"/>
            <w:vAlign w:val="top"/>
          </w:tcPr>
          <w:p>
            <w:r>
              <w:rPr>
                <w:b w:val="false"/>
                <w:bCs w:val="false"/>
              </w:rPr>
              <w:t xml:space="preserve">demo12345</w:t>
            </w:r>
          </w:p>
        </w:tc>
      </w:tr>
    </w:tbl>
    <w:p>
      <w:pPr>
        <w:spacing w:after="160"/>
      </w:pPr>
      <w:r>
        <w:t xml:space="preserve">The demo company includes: customers and vendors; invoices in every status (paid, partially paid, open, overdue) including one in a foreign currency; bills in multiple statuses; a completed bank reconciliation; an active recurring invoice template with one invoice already generated from it; a Project (“Port Louis Branch”) with a tagged invoice, demonstrating filtered versus consolidated Profit &amp; Loss; and enough invoice history for at least one real example on the Anomaly Check page. Two scripts (seed_demo_company.py and extend_demo_company.py) can regenerate or extend this data at any time, against either the local or the production database.</w:t>
      </w:r>
    </w:p>
    <w:p>
      <w:pPr>
        <w:pStyle w:val="Heading1"/>
        <w:spacing w:after="200" w:before="400"/>
      </w:pPr>
      <w:r>
        <w:t xml:space="preserve">24. Known Limitations &amp; Roadmap</w:t>
      </w:r>
    </w:p>
    <w:p>
      <w:pPr>
        <w:spacing w:after="160"/>
      </w:pPr>
      <w:r>
        <w:t xml:space="preserve">Everything below is either explicitly deferred pending a decision, or a natural next step — nothing here is a defect in what has shipped.</w:t>
      </w:r>
    </w:p>
    <w:p>
      <w:pPr>
        <w:pStyle w:val="ListParagraph"/>
        <w:numPr>
          <w:ilvl w:val="0"/>
          <w:numId w:val="1"/>
        </w:numPr>
        <w:spacing w:after="90"/>
      </w:pPr>
      <w:r>
        <w:t xml:space="preserve">Real AI model wiring for the three AI-assisted features (Section 19), once a use case and budget are confirmed — the mocked versions are fully functional stand-ins in the meantime.</w:t>
      </w:r>
    </w:p>
    <w:p>
      <w:pPr>
        <w:pStyle w:val="ListParagraph"/>
        <w:numPr>
          <w:ilvl w:val="0"/>
          <w:numId w:val="1"/>
        </w:numPr>
        <w:spacing w:after="90"/>
      </w:pPr>
      <w:r>
        <w:t xml:space="preserve">Balance Sheet, Aging reports, and the Custom Report Builder do not yet have graphical charts (Profit &amp; Loss, Sales/Purchases breakdowns, and Cash Flow do).</w:t>
      </w:r>
    </w:p>
    <w:p>
      <w:pPr>
        <w:pStyle w:val="ListParagraph"/>
        <w:numPr>
          <w:ilvl w:val="0"/>
          <w:numId w:val="1"/>
        </w:numPr>
        <w:spacing w:after="90"/>
      </w:pPr>
      <w:r>
        <w:t xml:space="preserve">Per-project reporting currently covers Profit &amp; Loss; a per-project Balance Sheet is a larger design question (see Section 10) not yet scoped.</w:t>
      </w:r>
    </w:p>
    <w:p>
      <w:pPr>
        <w:pStyle w:val="ListParagraph"/>
        <w:numPr>
          <w:ilvl w:val="0"/>
          <w:numId w:val="1"/>
        </w:numPr>
        <w:spacing w:after="90"/>
      </w:pPr>
      <w:r>
        <w:t xml:space="preserve">Project/branch tagging is at the whole-document level; per-line tagging within a single invoice or bill was deliberately out of scope for this phase.</w:t>
      </w:r>
    </w:p>
    <w:p>
      <w:pPr>
        <w:pStyle w:val="ListParagraph"/>
        <w:numPr>
          <w:ilvl w:val="0"/>
          <w:numId w:val="1"/>
        </w:numPr>
        <w:spacing w:after="90"/>
      </w:pPr>
      <w:r>
        <w:t xml:space="preserve">A second, fully isolated demo deployment (separate service and database) is scoped in render.yaml but not yet confirmed created, pending Render's free-tier database allowance.</w:t>
      </w:r>
    </w:p>
    <w:p>
      <w:pPr>
        <w:pStyle w:val="ListParagraph"/>
        <w:numPr>
          <w:ilvl w:val="0"/>
          <w:numId w:val="1"/>
        </w:numPr>
        <w:spacing w:after="90"/>
      </w:pPr>
      <w:r>
        <w:t xml:space="preserve">Business Performance Ratios, Cash Flow Forecasting, and a Statement of Changes in Equity were identified in a comparison against another accounting product's report catalogue as bigger, standalone projects, intentionally not started speculatively.</w:t>
      </w:r>
    </w:p>
    <w:p>
      <w:pPr>
        <w:pStyle w:val="ListParagraph"/>
        <w:numPr>
          <w:ilvl w:val="0"/>
          <w:numId w:val="1"/>
        </w:numPr>
        <w:spacing w:after="90"/>
      </w:pPr>
      <w:r>
        <w:t xml:space="preserve">A generic, user-configurable workflow-automation engine (beyond the two specific automations already built — recurring invoices and asset depreciation) was similarly identified but not started.</w:t>
      </w:r>
    </w:p>
    <w:p>
      <w:pPr>
        <w:pStyle w:val="Heading1"/>
        <w:spacing w:after="200" w:before="400"/>
      </w:pPr>
      <w:r>
        <w:t xml:space="preserve">Appendix: Backend Module Reference</w:t>
      </w:r>
    </w:p>
    <w:p>
      <w:pPr>
        <w:spacing w:after="160"/>
      </w:pPr>
      <w:r>
        <w:t xml:space="preserve">For technical reference, every backend module in the application, by file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5F7FA" w:val="clear"/>
            <w:vAlign w:val="top"/>
          </w:tcPr>
          <w:p>
            <w:r>
              <w:rPr>
                <w:b/>
                <w:bCs/>
              </w:rPr>
              <w:t xml:space="preserve">Feature</w:t>
            </w:r>
          </w:p>
        </w:tc>
        <w:tc>
          <w:tcPr>
            <w:tcW w:type="dxa" w:w="6960"/>
            <w:shd w:fill="F5F7FA" w:val="clear"/>
            <w:vAlign w:val="top"/>
          </w:tcPr>
          <w:p>
            <w:r>
              <w:rPr>
                <w:b/>
                <w:bCs/>
              </w:rPr>
              <w:t xml:space="preserve">What it does / where to find it</w:t>
            </w:r>
          </w:p>
        </w:tc>
      </w:tr>
      <w:tr>
        <w:tc>
          <w:tcPr>
            <w:tcW w:type="dxa" w:w="2400"/>
            <w:vAlign w:val="top"/>
          </w:tcPr>
          <w:p>
            <w:r>
              <w:rPr>
                <w:b/>
                <w:bCs/>
              </w:rPr>
              <w:t xml:space="preserve">ai_anomalies.py</w:t>
            </w:r>
          </w:p>
        </w:tc>
        <w:tc>
          <w:tcPr>
            <w:tcW w:type="dxa" w:w="6960"/>
            <w:vAlign w:val="top"/>
          </w:tcPr>
          <w:p>
            <w:r>
              <w:rPr>
                <w:b w:val="false"/>
                <w:bCs w:val="false"/>
              </w:rPr>
              <w:t xml:space="preserve">Anomaly Check (Section 19.3)</w:t>
            </w:r>
          </w:p>
        </w:tc>
      </w:tr>
      <w:tr>
        <w:tc>
          <w:tcPr>
            <w:tcW w:type="dxa" w:w="2400"/>
            <w:vAlign w:val="top"/>
          </w:tcPr>
          <w:p>
            <w:r>
              <w:rPr>
                <w:b/>
                <w:bCs/>
              </w:rPr>
              <w:t xml:space="preserve">ai_qa.py</w:t>
            </w:r>
          </w:p>
        </w:tc>
        <w:tc>
          <w:tcPr>
            <w:tcW w:type="dxa" w:w="6960"/>
            <w:vAlign w:val="top"/>
          </w:tcPr>
          <w:p>
            <w:r>
              <w:rPr>
                <w:b w:val="false"/>
                <w:bCs w:val="false"/>
              </w:rPr>
              <w:t xml:space="preserve">Ask Your Books (Section 19.2)</w:t>
            </w:r>
          </w:p>
        </w:tc>
      </w:tr>
      <w:tr>
        <w:tc>
          <w:tcPr>
            <w:tcW w:type="dxa" w:w="2400"/>
            <w:vAlign w:val="top"/>
          </w:tcPr>
          <w:p>
            <w:r>
              <w:rPr>
                <w:b/>
                <w:bCs/>
              </w:rPr>
              <w:t xml:space="preserve">ai_suggest.py</w:t>
            </w:r>
          </w:p>
        </w:tc>
        <w:tc>
          <w:tcPr>
            <w:tcW w:type="dxa" w:w="6960"/>
            <w:vAlign w:val="top"/>
          </w:tcPr>
          <w:p>
            <w:r>
              <w:rPr>
                <w:b w:val="false"/>
                <w:bCs w:val="false"/>
              </w:rPr>
              <w:t xml:space="preserve">Smart Category Suggestion (Section 7.4)</w:t>
            </w:r>
          </w:p>
        </w:tc>
      </w:tr>
      <w:tr>
        <w:tc>
          <w:tcPr>
            <w:tcW w:type="dxa" w:w="2400"/>
            <w:vAlign w:val="top"/>
          </w:tcPr>
          <w:p>
            <w:r>
              <w:rPr>
                <w:b/>
                <w:bCs/>
              </w:rPr>
              <w:t xml:space="preserve">assets.py</w:t>
            </w:r>
          </w:p>
        </w:tc>
        <w:tc>
          <w:tcPr>
            <w:tcW w:type="dxa" w:w="6960"/>
            <w:vAlign w:val="top"/>
          </w:tcPr>
          <w:p>
            <w:r>
              <w:rPr>
                <w:b w:val="false"/>
                <w:bCs w:val="false"/>
              </w:rPr>
              <w:t xml:space="preserve">Fixed Assets (Section 9)</w:t>
            </w:r>
          </w:p>
        </w:tc>
      </w:tr>
      <w:tr>
        <w:tc>
          <w:tcPr>
            <w:tcW w:type="dxa" w:w="2400"/>
            <w:vAlign w:val="top"/>
          </w:tcPr>
          <w:p>
            <w:r>
              <w:rPr>
                <w:b/>
                <w:bCs/>
              </w:rPr>
              <w:t xml:space="preserve">attachments.py</w:t>
            </w:r>
          </w:p>
        </w:tc>
        <w:tc>
          <w:tcPr>
            <w:tcW w:type="dxa" w:w="6960"/>
            <w:vAlign w:val="top"/>
          </w:tcPr>
          <w:p>
            <w:r>
              <w:rPr>
                <w:b w:val="false"/>
                <w:bCs w:val="false"/>
              </w:rPr>
              <w:t xml:space="preserve">File attachments on records</w:t>
            </w:r>
          </w:p>
        </w:tc>
      </w:tr>
      <w:tr>
        <w:tc>
          <w:tcPr>
            <w:tcW w:type="dxa" w:w="2400"/>
            <w:vAlign w:val="top"/>
          </w:tcPr>
          <w:p>
            <w:r>
              <w:rPr>
                <w:b/>
                <w:bCs/>
              </w:rPr>
              <w:t xml:space="preserve">audit.py</w:t>
            </w:r>
          </w:p>
        </w:tc>
        <w:tc>
          <w:tcPr>
            <w:tcW w:type="dxa" w:w="6960"/>
            <w:vAlign w:val="top"/>
          </w:tcPr>
          <w:p>
            <w:r>
              <w:rPr>
                <w:b w:val="false"/>
                <w:bCs w:val="false"/>
              </w:rPr>
              <w:t xml:space="preserve">Audit log (Section 18)</w:t>
            </w:r>
          </w:p>
        </w:tc>
      </w:tr>
      <w:tr>
        <w:tc>
          <w:tcPr>
            <w:tcW w:type="dxa" w:w="2400"/>
            <w:vAlign w:val="top"/>
          </w:tcPr>
          <w:p>
            <w:r>
              <w:rPr>
                <w:b/>
                <w:bCs/>
              </w:rPr>
              <w:t xml:space="preserve">auth.py</w:t>
            </w:r>
          </w:p>
        </w:tc>
        <w:tc>
          <w:tcPr>
            <w:tcW w:type="dxa" w:w="6960"/>
            <w:vAlign w:val="top"/>
          </w:tcPr>
          <w:p>
            <w:r>
              <w:rPr>
                <w:b w:val="false"/>
                <w:bCs w:val="false"/>
              </w:rPr>
              <w:t xml:space="preserve">Login, registration, session/company switching</w:t>
            </w:r>
          </w:p>
        </w:tc>
      </w:tr>
      <w:tr>
        <w:tc>
          <w:tcPr>
            <w:tcW w:type="dxa" w:w="2400"/>
            <w:vAlign w:val="top"/>
          </w:tcPr>
          <w:p>
            <w:r>
              <w:rPr>
                <w:b/>
                <w:bCs/>
              </w:rPr>
              <w:t xml:space="preserve">backup.py</w:t>
            </w:r>
          </w:p>
        </w:tc>
        <w:tc>
          <w:tcPr>
            <w:tcW w:type="dxa" w:w="6960"/>
            <w:vAlign w:val="top"/>
          </w:tcPr>
          <w:p>
            <w:r>
              <w:rPr>
                <w:b w:val="false"/>
                <w:bCs w:val="false"/>
              </w:rPr>
              <w:t xml:space="preserve">Backup &amp; Restore (Section 17)</w:t>
            </w:r>
          </w:p>
        </w:tc>
      </w:tr>
      <w:tr>
        <w:tc>
          <w:tcPr>
            <w:tcW w:type="dxa" w:w="2400"/>
            <w:vAlign w:val="top"/>
          </w:tcPr>
          <w:p>
            <w:r>
              <w:rPr>
                <w:b/>
                <w:bCs/>
              </w:rPr>
              <w:t xml:space="preserve">banking.py</w:t>
            </w:r>
          </w:p>
        </w:tc>
        <w:tc>
          <w:tcPr>
            <w:tcW w:type="dxa" w:w="6960"/>
            <w:vAlign w:val="top"/>
          </w:tcPr>
          <w:p>
            <w:r>
              <w:rPr>
                <w:b w:val="false"/>
                <w:bCs w:val="false"/>
              </w:rPr>
              <w:t xml:space="preserve">Banking — accounts, reconciliation, import, transfers, deposits (Section 7)</w:t>
            </w:r>
          </w:p>
        </w:tc>
      </w:tr>
      <w:tr>
        <w:tc>
          <w:tcPr>
            <w:tcW w:type="dxa" w:w="2400"/>
            <w:vAlign w:val="top"/>
          </w:tcPr>
          <w:p>
            <w:r>
              <w:rPr>
                <w:b/>
                <w:bCs/>
              </w:rPr>
              <w:t xml:space="preserve">budgets.py</w:t>
            </w:r>
          </w:p>
        </w:tc>
        <w:tc>
          <w:tcPr>
            <w:tcW w:type="dxa" w:w="6960"/>
            <w:vAlign w:val="top"/>
          </w:tcPr>
          <w:p>
            <w:r>
              <w:rPr>
                <w:b w:val="false"/>
                <w:bCs w:val="false"/>
              </w:rPr>
              <w:t xml:space="preserve">Budgets (Section 11)</w:t>
            </w:r>
          </w:p>
        </w:tc>
      </w:tr>
      <w:tr>
        <w:tc>
          <w:tcPr>
            <w:tcW w:type="dxa" w:w="2400"/>
            <w:vAlign w:val="top"/>
          </w:tcPr>
          <w:p>
            <w:r>
              <w:rPr>
                <w:b/>
                <w:bCs/>
              </w:rPr>
              <w:t xml:space="preserve">company.py</w:t>
            </w:r>
          </w:p>
        </w:tc>
        <w:tc>
          <w:tcPr>
            <w:tcW w:type="dxa" w:w="6960"/>
            <w:vAlign w:val="top"/>
          </w:tcPr>
          <w:p>
            <w:r>
              <w:rPr>
                <w:b w:val="false"/>
                <w:bCs w:val="false"/>
              </w:rPr>
              <w:t xml:space="preserve">Company (tenant) provisioning</w:t>
            </w:r>
          </w:p>
        </w:tc>
      </w:tr>
      <w:tr>
        <w:tc>
          <w:tcPr>
            <w:tcW w:type="dxa" w:w="2400"/>
            <w:vAlign w:val="top"/>
          </w:tcPr>
          <w:p>
            <w:r>
              <w:rPr>
                <w:b/>
                <w:bCs/>
              </w:rPr>
              <w:t xml:space="preserve">dashboard.py</w:t>
            </w:r>
          </w:p>
        </w:tc>
        <w:tc>
          <w:tcPr>
            <w:tcW w:type="dxa" w:w="6960"/>
            <w:vAlign w:val="top"/>
          </w:tcPr>
          <w:p>
            <w:r>
              <w:rPr>
                <w:b w:val="false"/>
                <w:bCs w:val="false"/>
              </w:rPr>
              <w:t xml:space="preserve">Dashboard home screen</w:t>
            </w:r>
          </w:p>
        </w:tc>
      </w:tr>
      <w:tr>
        <w:tc>
          <w:tcPr>
            <w:tcW w:type="dxa" w:w="2400"/>
            <w:vAlign w:val="top"/>
          </w:tcPr>
          <w:p>
            <w:r>
              <w:rPr>
                <w:b/>
                <w:bCs/>
              </w:rPr>
              <w:t xml:space="preserve">features_pdf.py</w:t>
            </w:r>
          </w:p>
        </w:tc>
        <w:tc>
          <w:tcPr>
            <w:tcW w:type="dxa" w:w="6960"/>
            <w:vAlign w:val="top"/>
          </w:tcPr>
          <w:p>
            <w:r>
              <w:rPr>
                <w:b w:val="false"/>
                <w:bCs w:val="false"/>
              </w:rPr>
              <w:t xml:space="preserve">Downloadable feature-summary PDF</w:t>
            </w:r>
          </w:p>
        </w:tc>
      </w:tr>
      <w:tr>
        <w:tc>
          <w:tcPr>
            <w:tcW w:type="dxa" w:w="2400"/>
            <w:vAlign w:val="top"/>
          </w:tcPr>
          <w:p>
            <w:r>
              <w:rPr>
                <w:b/>
                <w:bCs/>
              </w:rPr>
              <w:t xml:space="preserve">fx_rates.py</w:t>
            </w:r>
          </w:p>
        </w:tc>
        <w:tc>
          <w:tcPr>
            <w:tcW w:type="dxa" w:w="6960"/>
            <w:vAlign w:val="top"/>
          </w:tcPr>
          <w:p>
            <w:r>
              <w:rPr>
                <w:b w:val="false"/>
                <w:bCs w:val="false"/>
              </w:rPr>
              <w:t xml:space="preserve">Live exchange-rate lookup (Section 14)</w:t>
            </w:r>
          </w:p>
        </w:tc>
      </w:tr>
      <w:tr>
        <w:tc>
          <w:tcPr>
            <w:tcW w:type="dxa" w:w="2400"/>
            <w:vAlign w:val="top"/>
          </w:tcPr>
          <w:p>
            <w:r>
              <w:rPr>
                <w:b/>
                <w:bCs/>
              </w:rPr>
              <w:t xml:space="preserve">imports.py</w:t>
            </w:r>
          </w:p>
        </w:tc>
        <w:tc>
          <w:tcPr>
            <w:tcW w:type="dxa" w:w="6960"/>
            <w:vAlign w:val="top"/>
          </w:tcPr>
          <w:p>
            <w:r>
              <w:rPr>
                <w:b w:val="false"/>
                <w:bCs w:val="false"/>
              </w:rPr>
              <w:t xml:space="preserve">CSV bulk import of customers/vendors/items</w:t>
            </w:r>
          </w:p>
        </w:tc>
      </w:tr>
      <w:tr>
        <w:tc>
          <w:tcPr>
            <w:tcW w:type="dxa" w:w="2400"/>
            <w:vAlign w:val="top"/>
          </w:tcPr>
          <w:p>
            <w:r>
              <w:rPr>
                <w:b/>
                <w:bCs/>
              </w:rPr>
              <w:t xml:space="preserve">inventory.py</w:t>
            </w:r>
          </w:p>
        </w:tc>
        <w:tc>
          <w:tcPr>
            <w:tcW w:type="dxa" w:w="6960"/>
            <w:vAlign w:val="top"/>
          </w:tcPr>
          <w:p>
            <w:r>
              <w:rPr>
                <w:b w:val="false"/>
                <w:bCs w:val="false"/>
              </w:rPr>
              <w:t xml:space="preserve">Inventory / Items (Section 8)</w:t>
            </w:r>
          </w:p>
        </w:tc>
      </w:tr>
      <w:tr>
        <w:tc>
          <w:tcPr>
            <w:tcW w:type="dxa" w:w="2400"/>
            <w:vAlign w:val="top"/>
          </w:tcPr>
          <w:p>
            <w:r>
              <w:rPr>
                <w:b/>
                <w:bCs/>
              </w:rPr>
              <w:t xml:space="preserve">ledger.py</w:t>
            </w:r>
          </w:p>
        </w:tc>
        <w:tc>
          <w:tcPr>
            <w:tcW w:type="dxa" w:w="6960"/>
            <w:vAlign w:val="top"/>
          </w:tcPr>
          <w:p>
            <w:r>
              <w:rPr>
                <w:b w:val="false"/>
                <w:bCs w:val="false"/>
              </w:rPr>
              <w:t xml:space="preserve">Chart of Accounts, Journal, Trial Balance, General Ledger (Section 4)</w:t>
            </w:r>
          </w:p>
        </w:tc>
      </w:tr>
      <w:tr>
        <w:tc>
          <w:tcPr>
            <w:tcW w:type="dxa" w:w="2400"/>
            <w:vAlign w:val="top"/>
          </w:tcPr>
          <w:p>
            <w:r>
              <w:rPr>
                <w:b/>
                <w:bCs/>
              </w:rPr>
              <w:t xml:space="preserve">models.py</w:t>
            </w:r>
          </w:p>
        </w:tc>
        <w:tc>
          <w:tcPr>
            <w:tcW w:type="dxa" w:w="6960"/>
            <w:vAlign w:val="top"/>
          </w:tcPr>
          <w:p>
            <w:r>
              <w:rPr>
                <w:b w:val="false"/>
                <w:bCs w:val="false"/>
              </w:rPr>
              <w:t xml:space="preserve">All database models</w:t>
            </w:r>
          </w:p>
        </w:tc>
      </w:tr>
      <w:tr>
        <w:tc>
          <w:tcPr>
            <w:tcW w:type="dxa" w:w="2400"/>
            <w:vAlign w:val="top"/>
          </w:tcPr>
          <w:p>
            <w:r>
              <w:rPr>
                <w:b/>
                <w:bCs/>
              </w:rPr>
              <w:t xml:space="preserve">mra_bridge.py</w:t>
            </w:r>
          </w:p>
        </w:tc>
        <w:tc>
          <w:tcPr>
            <w:tcW w:type="dxa" w:w="6960"/>
            <w:vAlign w:val="top"/>
          </w:tcPr>
          <w:p>
            <w:r>
              <w:rPr>
                <w:b w:val="false"/>
                <w:bCs w:val="false"/>
              </w:rPr>
              <w:t xml:space="preserve">Outbound MRA fiscalisation (Section 13.1)</w:t>
            </w:r>
          </w:p>
        </w:tc>
      </w:tr>
      <w:tr>
        <w:tc>
          <w:tcPr>
            <w:tcW w:type="dxa" w:w="2400"/>
            <w:vAlign w:val="top"/>
          </w:tcPr>
          <w:p>
            <w:r>
              <w:rPr>
                <w:b/>
                <w:bCs/>
              </w:rPr>
              <w:t xml:space="preserve">mra_sgs.py</w:t>
            </w:r>
          </w:p>
        </w:tc>
        <w:tc>
          <w:tcPr>
            <w:tcW w:type="dxa" w:w="6960"/>
            <w:vAlign w:val="top"/>
          </w:tcPr>
          <w:p>
            <w:r>
              <w:rPr>
                <w:b w:val="false"/>
                <w:bCs w:val="false"/>
              </w:rPr>
              <w:t xml:space="preserve">Statement of Goods and Services export (Section 13.2)</w:t>
            </w:r>
          </w:p>
        </w:tc>
      </w:tr>
      <w:tr>
        <w:tc>
          <w:tcPr>
            <w:tcW w:type="dxa" w:w="2400"/>
            <w:vAlign w:val="top"/>
          </w:tcPr>
          <w:p>
            <w:r>
              <w:rPr>
                <w:b/>
                <w:bCs/>
              </w:rPr>
              <w:t xml:space="preserve">mra_sync.py</w:t>
            </w:r>
          </w:p>
        </w:tc>
        <w:tc>
          <w:tcPr>
            <w:tcW w:type="dxa" w:w="6960"/>
            <w:vAlign w:val="top"/>
          </w:tcPr>
          <w:p>
            <w:r>
              <w:rPr>
                <w:b w:val="false"/>
                <w:bCs w:val="false"/>
              </w:rPr>
              <w:t xml:space="preserve">MRA fiscalisation retry queue</w:t>
            </w:r>
          </w:p>
        </w:tc>
      </w:tr>
      <w:tr>
        <w:tc>
          <w:tcPr>
            <w:tcW w:type="dxa" w:w="2400"/>
            <w:vAlign w:val="top"/>
          </w:tcPr>
          <w:p>
            <w:r>
              <w:rPr>
                <w:b/>
                <w:bCs/>
              </w:rPr>
              <w:t xml:space="preserve">payroll_bridge.py</w:t>
            </w:r>
          </w:p>
        </w:tc>
        <w:tc>
          <w:tcPr>
            <w:tcW w:type="dxa" w:w="6960"/>
            <w:vAlign w:val="top"/>
          </w:tcPr>
          <w:p>
            <w:r>
              <w:rPr>
                <w:b w:val="false"/>
                <w:bCs w:val="false"/>
              </w:rPr>
              <w:t xml:space="preserve">Inbound payroll integration (Section 15)</w:t>
            </w:r>
          </w:p>
        </w:tc>
      </w:tr>
      <w:tr>
        <w:tc>
          <w:tcPr>
            <w:tcW w:type="dxa" w:w="2400"/>
            <w:vAlign w:val="top"/>
          </w:tcPr>
          <w:p>
            <w:r>
              <w:rPr>
                <w:b/>
                <w:bCs/>
              </w:rPr>
              <w:t xml:space="preserve">pdf.py</w:t>
            </w:r>
          </w:p>
        </w:tc>
        <w:tc>
          <w:tcPr>
            <w:tcW w:type="dxa" w:w="6960"/>
            <w:vAlign w:val="top"/>
          </w:tcPr>
          <w:p>
            <w:r>
              <w:rPr>
                <w:b w:val="false"/>
                <w:bCs w:val="false"/>
              </w:rPr>
              <w:t xml:space="preserve">Invoice/bill/credit-memo PDF rendering</w:t>
            </w:r>
          </w:p>
        </w:tc>
      </w:tr>
      <w:tr>
        <w:tc>
          <w:tcPr>
            <w:tcW w:type="dxa" w:w="2400"/>
            <w:vAlign w:val="top"/>
          </w:tcPr>
          <w:p>
            <w:r>
              <w:rPr>
                <w:b/>
                <w:bCs/>
              </w:rPr>
              <w:t xml:space="preserve">period_lock.py</w:t>
            </w:r>
          </w:p>
        </w:tc>
        <w:tc>
          <w:tcPr>
            <w:tcW w:type="dxa" w:w="6960"/>
            <w:vAlign w:val="top"/>
          </w:tcPr>
          <w:p>
            <w:r>
              <w:rPr>
                <w:b w:val="false"/>
                <w:bCs w:val="false"/>
              </w:rPr>
              <w:t xml:space="preserve">Period locking enforcement (Section 3.4)</w:t>
            </w:r>
          </w:p>
        </w:tc>
      </w:tr>
      <w:tr>
        <w:tc>
          <w:tcPr>
            <w:tcW w:type="dxa" w:w="2400"/>
            <w:vAlign w:val="top"/>
          </w:tcPr>
          <w:p>
            <w:r>
              <w:rPr>
                <w:b/>
                <w:bCs/>
              </w:rPr>
              <w:t xml:space="preserve">permissions.py</w:t>
            </w:r>
          </w:p>
        </w:tc>
        <w:tc>
          <w:tcPr>
            <w:tcW w:type="dxa" w:w="6960"/>
            <w:vAlign w:val="top"/>
          </w:tcPr>
          <w:p>
            <w:r>
              <w:rPr>
                <w:b w:val="false"/>
                <w:bCs w:val="false"/>
              </w:rPr>
              <w:t xml:space="preserve">Per-module access restriction (Section 3.3)</w:t>
            </w:r>
          </w:p>
        </w:tc>
      </w:tr>
      <w:tr>
        <w:tc>
          <w:tcPr>
            <w:tcW w:type="dxa" w:w="2400"/>
            <w:vAlign w:val="top"/>
          </w:tcPr>
          <w:p>
            <w:r>
              <w:rPr>
                <w:b/>
                <w:bCs/>
              </w:rPr>
              <w:t xml:space="preserve">projects.py</w:t>
            </w:r>
          </w:p>
        </w:tc>
        <w:tc>
          <w:tcPr>
            <w:tcW w:type="dxa" w:w="6960"/>
            <w:vAlign w:val="top"/>
          </w:tcPr>
          <w:p>
            <w:r>
              <w:rPr>
                <w:b w:val="false"/>
                <w:bCs w:val="false"/>
              </w:rPr>
              <w:t xml:space="preserve">Project/branch tagging (Section 10)</w:t>
            </w:r>
          </w:p>
        </w:tc>
      </w:tr>
      <w:tr>
        <w:tc>
          <w:tcPr>
            <w:tcW w:type="dxa" w:w="2400"/>
            <w:vAlign w:val="top"/>
          </w:tcPr>
          <w:p>
            <w:r>
              <w:rPr>
                <w:b/>
                <w:bCs/>
              </w:rPr>
              <w:t xml:space="preserve">purchases.py</w:t>
            </w:r>
          </w:p>
        </w:tc>
        <w:tc>
          <w:tcPr>
            <w:tcW w:type="dxa" w:w="6960"/>
            <w:vAlign w:val="top"/>
          </w:tcPr>
          <w:p>
            <w:r>
              <w:rPr>
                <w:b w:val="false"/>
                <w:bCs w:val="false"/>
              </w:rPr>
              <w:t xml:space="preserve">Vendors, Bills, Purchase Orders, Vendor Credits (Section 6)</w:t>
            </w:r>
          </w:p>
        </w:tc>
      </w:tr>
      <w:tr>
        <w:tc>
          <w:tcPr>
            <w:tcW w:type="dxa" w:w="2400"/>
            <w:vAlign w:val="top"/>
          </w:tcPr>
          <w:p>
            <w:r>
              <w:rPr>
                <w:b/>
                <w:bCs/>
              </w:rPr>
              <w:t xml:space="preserve">reminders.py</w:t>
            </w:r>
          </w:p>
        </w:tc>
        <w:tc>
          <w:tcPr>
            <w:tcW w:type="dxa" w:w="6960"/>
            <w:vAlign w:val="top"/>
          </w:tcPr>
          <w:p>
            <w:r>
              <w:rPr>
                <w:b w:val="false"/>
                <w:bCs w:val="false"/>
              </w:rPr>
              <w:t xml:space="preserve">Payment reminders digest and email dispatch</w:t>
            </w:r>
          </w:p>
        </w:tc>
      </w:tr>
      <w:tr>
        <w:tc>
          <w:tcPr>
            <w:tcW w:type="dxa" w:w="2400"/>
            <w:vAlign w:val="top"/>
          </w:tcPr>
          <w:p>
            <w:r>
              <w:rPr>
                <w:b/>
                <w:bCs/>
              </w:rPr>
              <w:t xml:space="preserve">reports.py</w:t>
            </w:r>
          </w:p>
        </w:tc>
        <w:tc>
          <w:tcPr>
            <w:tcW w:type="dxa" w:w="6960"/>
            <w:vAlign w:val="top"/>
          </w:tcPr>
          <w:p>
            <w:r>
              <w:rPr>
                <w:b w:val="false"/>
                <w:bCs w:val="false"/>
              </w:rPr>
              <w:t xml:space="preserve">Financial reports (Section 12)</w:t>
            </w:r>
          </w:p>
        </w:tc>
      </w:tr>
      <w:tr>
        <w:tc>
          <w:tcPr>
            <w:tcW w:type="dxa" w:w="2400"/>
            <w:vAlign w:val="top"/>
          </w:tcPr>
          <w:p>
            <w:r>
              <w:rPr>
                <w:b/>
                <w:bCs/>
              </w:rPr>
              <w:t xml:space="preserve">sales.py</w:t>
            </w:r>
          </w:p>
        </w:tc>
        <w:tc>
          <w:tcPr>
            <w:tcW w:type="dxa" w:w="6960"/>
            <w:vAlign w:val="top"/>
          </w:tcPr>
          <w:p>
            <w:r>
              <w:rPr>
                <w:b w:val="false"/>
                <w:bCs w:val="false"/>
              </w:rPr>
              <w:t xml:space="preserve">Customers, Invoices, Estimates, Credit Memos, Recurring Invoices (Section 5)</w:t>
            </w:r>
          </w:p>
        </w:tc>
      </w:tr>
      <w:tr>
        <w:tc>
          <w:tcPr>
            <w:tcW w:type="dxa" w:w="2400"/>
            <w:vAlign w:val="top"/>
          </w:tcPr>
          <w:p>
            <w:r>
              <w:rPr>
                <w:b/>
                <w:bCs/>
              </w:rPr>
              <w:t xml:space="preserve">scheduler.py</w:t>
            </w:r>
          </w:p>
        </w:tc>
        <w:tc>
          <w:tcPr>
            <w:tcW w:type="dxa" w:w="6960"/>
            <w:vAlign w:val="top"/>
          </w:tcPr>
          <w:p>
            <w:r>
              <w:rPr>
                <w:b w:val="false"/>
                <w:bCs w:val="false"/>
              </w:rPr>
              <w:t xml:space="preserve">Daily background jobs (recurring invoices, depreciation)</w:t>
            </w:r>
          </w:p>
        </w:tc>
      </w:tr>
      <w:tr>
        <w:tc>
          <w:tcPr>
            <w:tcW w:type="dxa" w:w="2400"/>
            <w:vAlign w:val="top"/>
          </w:tcPr>
          <w:p>
            <w:r>
              <w:rPr>
                <w:b/>
                <w:bCs/>
              </w:rPr>
              <w:t xml:space="preserve">scoping.py</w:t>
            </w:r>
          </w:p>
        </w:tc>
        <w:tc>
          <w:tcPr>
            <w:tcW w:type="dxa" w:w="6960"/>
            <w:vAlign w:val="top"/>
          </w:tcPr>
          <w:p>
            <w:r>
              <w:rPr>
                <w:b w:val="false"/>
                <w:bCs w:val="false"/>
              </w:rPr>
              <w:t xml:space="preserve">Per-company data isolation helper</w:t>
            </w:r>
          </w:p>
        </w:tc>
      </w:tr>
      <w:tr>
        <w:tc>
          <w:tcPr>
            <w:tcW w:type="dxa" w:w="2400"/>
            <w:vAlign w:val="top"/>
          </w:tcPr>
          <w:p>
            <w:r>
              <w:rPr>
                <w:b/>
                <w:bCs/>
              </w:rPr>
              <w:t xml:space="preserve">search.py</w:t>
            </w:r>
          </w:p>
        </w:tc>
        <w:tc>
          <w:tcPr>
            <w:tcW w:type="dxa" w:w="6960"/>
            <w:vAlign w:val="top"/>
          </w:tcPr>
          <w:p>
            <w:r>
              <w:rPr>
                <w:b w:val="false"/>
                <w:bCs w:val="false"/>
              </w:rPr>
              <w:t xml:space="preserve">Global search</w:t>
            </w:r>
          </w:p>
        </w:tc>
      </w:tr>
      <w:tr>
        <w:tc>
          <w:tcPr>
            <w:tcW w:type="dxa" w:w="2400"/>
            <w:vAlign w:val="top"/>
          </w:tcPr>
          <w:p>
            <w:r>
              <w:rPr>
                <w:b/>
                <w:bCs/>
              </w:rPr>
              <w:t xml:space="preserve">settings.py</w:t>
            </w:r>
          </w:p>
        </w:tc>
        <w:tc>
          <w:tcPr>
            <w:tcW w:type="dxa" w:w="6960"/>
            <w:vAlign w:val="top"/>
          </w:tcPr>
          <w:p>
            <w:r>
              <w:rPr>
                <w:b w:val="false"/>
                <w:bCs w:val="false"/>
              </w:rPr>
              <w:t xml:space="preserve">Company settings (Section 20)</w:t>
            </w:r>
          </w:p>
        </w:tc>
      </w:tr>
      <w:tr>
        <w:tc>
          <w:tcPr>
            <w:tcW w:type="dxa" w:w="2400"/>
            <w:vAlign w:val="top"/>
          </w:tcPr>
          <w:p>
            <w:r>
              <w:rPr>
                <w:b/>
                <w:bCs/>
              </w:rPr>
              <w:t xml:space="preserve">share.py / share_links.py</w:t>
            </w:r>
          </w:p>
        </w:tc>
        <w:tc>
          <w:tcPr>
            <w:tcW w:type="dxa" w:w="6960"/>
            <w:vAlign w:val="top"/>
          </w:tcPr>
          <w:p>
            <w:r>
              <w:rPr>
                <w:b w:val="false"/>
                <w:bCs w:val="false"/>
              </w:rPr>
              <w:t xml:space="preserve">Signed public share links (Section 16.2)</w:t>
            </w:r>
          </w:p>
        </w:tc>
      </w:tr>
      <w:tr>
        <w:tc>
          <w:tcPr>
            <w:tcW w:type="dxa" w:w="2400"/>
            <w:vAlign w:val="top"/>
          </w:tcPr>
          <w:p>
            <w:r>
              <w:rPr>
                <w:b/>
                <w:bCs/>
              </w:rPr>
              <w:t xml:space="preserve">users.py</w:t>
            </w:r>
          </w:p>
        </w:tc>
        <w:tc>
          <w:tcPr>
            <w:tcW w:type="dxa" w:w="6960"/>
            <w:vAlign w:val="top"/>
          </w:tcPr>
          <w:p>
            <w:r>
              <w:rPr>
                <w:b w:val="false"/>
                <w:bCs w:val="false"/>
              </w:rPr>
              <w:t xml:space="preserve">User management (Section 3, 20)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0F766E"/>
      <w:sz w:val="32"/>
      <w:szCs w:val="32"/>
    </w:rPr>
  </w:style>
  <w:style w:type="paragraph" w:styleId="Heading2">
    <w:name w:val="Heading 2"/>
    <w:basedOn w:val="Normal"/>
    <w:next w:val="Normal"/>
    <w:qFormat/>
    <w:pPr>
      <w:spacing w:after="140" w:before="280"/>
    </w:pPr>
    <w:rPr>
      <w:b/>
      <w:bCs/>
      <w:color w:val="1F2937"/>
      <w:sz w:val="26"/>
      <w:szCs w:val="26"/>
    </w:rPr>
  </w:style>
  <w:style w:type="paragraph" w:styleId="Heading3">
    <w:name w:val="Heading 3"/>
    <w:basedOn w:val="Normal"/>
    <w:next w:val="Normal"/>
    <w:qFormat/>
    <w:pPr>
      <w:spacing w:after="100" w:before="200"/>
    </w:pPr>
    <w:rPr>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2026-09-20T15:30:13.108Z</dcterms:created>
  <dcterms:modified xsi:type="dcterms:W3CDTF">2026-09-20T15:30:13.110Z</dcterms:modified>
</cp:coreProperties>
</file>

<file path=docProps/custom.xml><?xml version="1.0" encoding="utf-8"?>
<Properties xmlns="http://schemas.openxmlformats.org/officeDocument/2006/custom-properties" xmlns:vt="http://schemas.openxmlformats.org/officeDocument/2006/docPropsVTypes"/>
</file>