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563EB"/>
          <w:sz w:val="44"/>
          <w:szCs w:val="44"/>
        </w:rPr>
        <w:t xml:space="preserve">Utility Monitor</w:t>
      </w:r>
    </w:p>
    <w:p>
      <w:pPr>
        <w:spacing w:after="40"/>
      </w:pPr>
      <w:r>
        <w:rPr>
          <w:sz w:val="26"/>
          <w:szCs w:val="26"/>
        </w:rPr>
        <w:t xml:space="preserve">Scope of Work — Multi-Building Water &amp; Energy Monitoring Platform</w:t>
      </w:r>
    </w:p>
    <w:p>
      <w:pPr>
        <w:spacing w:after="300"/>
      </w:pPr>
      <w:r>
        <w:rPr>
          <w:i/>
          <w:iCs/>
          <w:color w:val="64707D"/>
          <w:sz w:val="20"/>
          <w:szCs w:val="20"/>
        </w:rPr>
        <w:t xml:space="preserve">Draft for discussion · September 2026</w:t>
      </w:r>
    </w:p>
    <w:p>
      <w:pPr>
        <w:pStyle w:val="Heading1"/>
        <w:spacing w:after="140" w:before="320"/>
      </w:pPr>
      <w:r>
        <w:t xml:space="preserve">Purpose</w:t>
      </w:r>
    </w:p>
    <w:p>
      <w:pPr>
        <w:spacing w:after="160"/>
      </w:pPr>
      <w:r>
        <w:t xml:space="preserve">This document defines the scope of work for delivering a complete IoT water and energy monitoring platform across the client’s buildings, following the initial request for a cost-effective, web- and app-based system with remote device activation. It separates what is already built and demonstrated (the software platform) from what remains and depends on information only the client can provide (physical hardware and connectivity).</w:t>
      </w:r>
    </w:p>
    <w:p>
      <w:pPr>
        <w:pStyle w:val="Heading1"/>
        <w:spacing w:after="140" w:before="320"/>
      </w:pPr>
      <w:r>
        <w:t xml:space="preserve">Project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shd w:fill="EFF6FF" w:val="clear"/>
            <w:tcMar>
              <w:top w:type="dxa" w:w="100"/>
              <w:left w:type="dxa" w:w="120"/>
              <w:bottom w:type="dxa" w:w="100"/>
              <w:right w:type="dxa" w:w="120"/>
            </w:tcMar>
          </w:tcPr>
          <w:p>
            <w:r>
              <w:rPr>
                <w:b/>
                <w:bCs/>
                <w:i w:val="false"/>
                <w:iCs w:val="false"/>
              </w:rPr>
              <w:t xml:space="preserve">Phase</w:t>
            </w:r>
          </w:p>
        </w:tc>
        <w:tc>
          <w:tcPr>
            <w:tcW w:type="dxa" w:w="2200"/>
            <w:shd w:fill="EFF6FF" w:val="clear"/>
            <w:tcMar>
              <w:top w:type="dxa" w:w="100"/>
              <w:left w:type="dxa" w:w="120"/>
              <w:bottom w:type="dxa" w:w="100"/>
              <w:right w:type="dxa" w:w="120"/>
            </w:tcMar>
          </w:tcPr>
          <w:p>
            <w:r>
              <w:rPr>
                <w:b/>
                <w:bCs/>
                <w:i w:val="false"/>
                <w:iCs w:val="false"/>
              </w:rPr>
              <w:t xml:space="preserve">Status</w:t>
            </w:r>
          </w:p>
        </w:tc>
        <w:tc>
          <w:tcPr>
            <w:tcW w:type="dxa" w:w="4560"/>
            <w:shd w:fill="EFF6FF" w:val="clear"/>
            <w:tcMar>
              <w:top w:type="dxa" w:w="100"/>
              <w:left w:type="dxa" w:w="120"/>
              <w:bottom w:type="dxa" w:w="100"/>
              <w:right w:type="dxa" w:w="120"/>
            </w:tcMar>
          </w:tcPr>
          <w:p>
            <w:r>
              <w:rPr>
                <w:b/>
                <w:bCs/>
                <w:i w:val="false"/>
                <w:iCs w:val="false"/>
              </w:rPr>
              <w:t xml:space="preserve">Covers</w:t>
            </w:r>
          </w:p>
        </w:tc>
      </w:tr>
      <w:tr>
        <w:tc>
          <w:tcPr>
            <w:tcW w:type="dxa" w:w="2600"/>
            <w:tcMar>
              <w:top w:type="dxa" w:w="100"/>
              <w:left w:type="dxa" w:w="120"/>
              <w:bottom w:type="dxa" w:w="100"/>
              <w:right w:type="dxa" w:w="120"/>
            </w:tcMar>
          </w:tcPr>
          <w:p>
            <w:r>
              <w:rPr>
                <w:b/>
                <w:bCs/>
                <w:i w:val="false"/>
                <w:iCs w:val="false"/>
              </w:rPr>
              <w:t xml:space="preserve">Phase 0 — Software Platform</w:t>
            </w:r>
          </w:p>
        </w:tc>
        <w:tc>
          <w:tcPr>
            <w:tcW w:type="dxa" w:w="2200"/>
            <w:shd w:fill="F0FDF4" w:val="clear"/>
            <w:tcMar>
              <w:top w:type="dxa" w:w="100"/>
              <w:left w:type="dxa" w:w="120"/>
              <w:bottom w:type="dxa" w:w="100"/>
              <w:right w:type="dxa" w:w="120"/>
            </w:tcMar>
          </w:tcPr>
          <w:p>
            <w:r>
              <w:rPr>
                <w:b w:val="false"/>
                <w:bCs w:val="false"/>
                <w:i w:val="false"/>
                <w:iCs w:val="false"/>
              </w:rPr>
              <w:t xml:space="preserve">Complete</w:t>
            </w:r>
          </w:p>
        </w:tc>
        <w:tc>
          <w:tcPr>
            <w:tcW w:type="dxa" w:w="4560"/>
            <w:tcMar>
              <w:top w:type="dxa" w:w="100"/>
              <w:left w:type="dxa" w:w="120"/>
              <w:bottom w:type="dxa" w:w="100"/>
              <w:right w:type="dxa" w:w="120"/>
            </w:tcMar>
          </w:tcPr>
          <w:p>
            <w:r>
              <w:rPr>
                <w:b w:val="false"/>
                <w:bCs w:val="false"/>
                <w:i w:val="false"/>
                <w:iCs w:val="false"/>
              </w:rPr>
              <w:t xml:space="preserve">Working web dashboard, backend API, database, simulator, alerting, and multi-portfolio access — demonstrated live on this call. See the accompanying Prototype Recap for the full feature list against the original request.</w:t>
            </w:r>
          </w:p>
        </w:tc>
      </w:tr>
      <w:tr>
        <w:tc>
          <w:tcPr>
            <w:tcW w:type="dxa" w:w="2600"/>
            <w:tcMar>
              <w:top w:type="dxa" w:w="100"/>
              <w:left w:type="dxa" w:w="120"/>
              <w:bottom w:type="dxa" w:w="100"/>
              <w:right w:type="dxa" w:w="120"/>
            </w:tcMar>
          </w:tcPr>
          <w:p>
            <w:r>
              <w:rPr>
                <w:b/>
                <w:bCs/>
                <w:i w:val="false"/>
                <w:iCs w:val="false"/>
              </w:rPr>
              <w:t xml:space="preserve">Phase 1 — Hardware &amp; Connectivity Discovery</w:t>
            </w:r>
          </w:p>
        </w:tc>
        <w:tc>
          <w:tcPr>
            <w:tcW w:type="dxa" w:w="2200"/>
            <w:shd w:fill="FFFBEB" w:val="clear"/>
            <w:tcMar>
              <w:top w:type="dxa" w:w="100"/>
              <w:left w:type="dxa" w:w="120"/>
              <w:bottom w:type="dxa" w:w="100"/>
              <w:right w:type="dxa" w:w="120"/>
            </w:tcMar>
          </w:tcPr>
          <w:p>
            <w:r>
              <w:rPr>
                <w:b w:val="false"/>
                <w:bCs w:val="false"/>
                <w:i w:val="false"/>
                <w:iCs w:val="false"/>
              </w:rPr>
              <w:t xml:space="preserve">Not started — needs client input</w:t>
            </w:r>
          </w:p>
        </w:tc>
        <w:tc>
          <w:tcPr>
            <w:tcW w:type="dxa" w:w="4560"/>
            <w:tcMar>
              <w:top w:type="dxa" w:w="100"/>
              <w:left w:type="dxa" w:w="120"/>
              <w:bottom w:type="dxa" w:w="100"/>
              <w:right w:type="dxa" w:w="120"/>
            </w:tcMar>
          </w:tcPr>
          <w:p>
            <w:r>
              <w:rPr>
                <w:b w:val="false"/>
                <w:bCs w:val="false"/>
                <w:i w:val="false"/>
                <w:iCs w:val="false"/>
              </w:rPr>
              <w:t xml:space="preserve">Confirm meter/sensor make, model, and connectivity per building (Wi-Fi/vendor API, Modbus/BACnet, or LoRaWAN); confirm network layout across buildings; agree real usage/low-level thresholds; confirm who needs access and at what permission level.</w:t>
            </w:r>
          </w:p>
        </w:tc>
      </w:tr>
      <w:tr>
        <w:tc>
          <w:tcPr>
            <w:tcW w:type="dxa" w:w="2600"/>
            <w:tcMar>
              <w:top w:type="dxa" w:w="100"/>
              <w:left w:type="dxa" w:w="120"/>
              <w:bottom w:type="dxa" w:w="100"/>
              <w:right w:type="dxa" w:w="120"/>
            </w:tcMar>
          </w:tcPr>
          <w:p>
            <w:r>
              <w:rPr>
                <w:b/>
                <w:bCs/>
                <w:i w:val="false"/>
                <w:iCs w:val="false"/>
              </w:rPr>
              <w:t xml:space="preserve">Phase 2 — Hardware Procurement &amp; Gateway Setup</w:t>
            </w:r>
          </w:p>
        </w:tc>
        <w:tc>
          <w:tcPr>
            <w:tcW w:type="dxa" w:w="2200"/>
            <w:shd w:fill="FFFBEB" w:val="clear"/>
            <w:tcMar>
              <w:top w:type="dxa" w:w="100"/>
              <w:left w:type="dxa" w:w="120"/>
              <w:bottom w:type="dxa" w:w="100"/>
              <w:right w:type="dxa" w:w="120"/>
            </w:tcMar>
          </w:tcPr>
          <w:p>
            <w:r>
              <w:rPr>
                <w:b w:val="false"/>
                <w:bCs w:val="false"/>
                <w:i w:val="false"/>
                <w:iCs w:val="false"/>
              </w:rPr>
              <w:t xml:space="preserve">Depends on Phase 1</w:t>
            </w:r>
          </w:p>
        </w:tc>
        <w:tc>
          <w:tcPr>
            <w:tcW w:type="dxa" w:w="4560"/>
            <w:tcMar>
              <w:top w:type="dxa" w:w="100"/>
              <w:left w:type="dxa" w:w="120"/>
              <w:bottom w:type="dxa" w:w="100"/>
              <w:right w:type="dxa" w:w="120"/>
            </w:tcMar>
          </w:tcPr>
          <w:p>
            <w:r>
              <w:rPr>
                <w:b w:val="false"/>
                <w:bCs w:val="false"/>
                <w:i w:val="false"/>
                <w:iCs w:val="false"/>
              </w:rPr>
              <w:t xml:space="preserve">Source and install the physical gateway(s) (e.g. Raspberry Pi + Node-RED/Home Assistant, or a LoRaWAN gateway) appropriate to the connectivity confirmed in Phase 1. Pricing and lead time depend entirely on what is chosen here.</w:t>
            </w:r>
          </w:p>
        </w:tc>
      </w:tr>
      <w:tr>
        <w:tc>
          <w:tcPr>
            <w:tcW w:type="dxa" w:w="2600"/>
            <w:tcMar>
              <w:top w:type="dxa" w:w="100"/>
              <w:left w:type="dxa" w:w="120"/>
              <w:bottom w:type="dxa" w:w="100"/>
              <w:right w:type="dxa" w:w="120"/>
            </w:tcMar>
          </w:tcPr>
          <w:p>
            <w:r>
              <w:rPr>
                <w:b/>
                <w:bCs/>
                <w:i w:val="false"/>
                <w:iCs w:val="false"/>
              </w:rPr>
              <w:t xml:space="preserve">Phase 3 — Live Data Integration</w:t>
            </w:r>
          </w:p>
        </w:tc>
        <w:tc>
          <w:tcPr>
            <w:tcW w:type="dxa" w:w="2200"/>
            <w:shd w:fill="F0FDF4" w:val="clear"/>
            <w:tcMar>
              <w:top w:type="dxa" w:w="100"/>
              <w:left w:type="dxa" w:w="120"/>
              <w:bottom w:type="dxa" w:w="100"/>
              <w:right w:type="dxa" w:w="120"/>
            </w:tcMar>
          </w:tcPr>
          <w:p>
            <w:r>
              <w:rPr>
                <w:b w:val="false"/>
                <w:bCs w:val="false"/>
                <w:i w:val="false"/>
                <w:iCs w:val="false"/>
              </w:rPr>
              <w:t xml:space="preserve">Platform-side ready now</w:t>
            </w:r>
          </w:p>
        </w:tc>
        <w:tc>
          <w:tcPr>
            <w:tcW w:type="dxa" w:w="4560"/>
            <w:tcMar>
              <w:top w:type="dxa" w:w="100"/>
              <w:left w:type="dxa" w:w="120"/>
              <w:bottom w:type="dxa" w:w="100"/>
              <w:right w:type="dxa" w:w="120"/>
            </w:tcMar>
          </w:tcPr>
          <w:p>
            <w:r>
              <w:rPr>
                <w:b w:val="false"/>
                <w:bCs w:val="false"/>
                <w:i w:val="false"/>
                <w:iCs w:val="false"/>
              </w:rPr>
              <w:t xml:space="preserve">Connect real gateway readings to the existing ingestion endpoint, replacing simulated data. The receiving side of this (the API) is already built and tested — this phase is primarily gateway-side work.</w:t>
            </w:r>
          </w:p>
        </w:tc>
      </w:tr>
      <w:tr>
        <w:tc>
          <w:tcPr>
            <w:tcW w:type="dxa" w:w="2600"/>
            <w:tcMar>
              <w:top w:type="dxa" w:w="100"/>
              <w:left w:type="dxa" w:w="120"/>
              <w:bottom w:type="dxa" w:w="100"/>
              <w:right w:type="dxa" w:w="120"/>
            </w:tcMar>
          </w:tcPr>
          <w:p>
            <w:r>
              <w:rPr>
                <w:b/>
                <w:bCs/>
                <w:i w:val="false"/>
                <w:iCs w:val="false"/>
              </w:rPr>
              <w:t xml:space="preserve">Phase 4 — Production Hardening</w:t>
            </w:r>
          </w:p>
        </w:tc>
        <w:tc>
          <w:tcPr>
            <w:tcW w:type="dxa" w:w="2200"/>
            <w:shd w:fill="FFFBEB" w:val="clear"/>
            <w:tcMar>
              <w:top w:type="dxa" w:w="100"/>
              <w:left w:type="dxa" w:w="120"/>
              <w:bottom w:type="dxa" w:w="100"/>
              <w:right w:type="dxa" w:w="120"/>
            </w:tcMar>
          </w:tcPr>
          <w:p>
            <w:r>
              <w:rPr>
                <w:b w:val="false"/>
                <w:bCs w:val="false"/>
                <w:i w:val="false"/>
                <w:iCs w:val="false"/>
              </w:rPr>
              <w:t xml:space="preserve">Scoped, not started</w:t>
            </w:r>
          </w:p>
        </w:tc>
        <w:tc>
          <w:tcPr>
            <w:tcW w:type="dxa" w:w="4560"/>
            <w:tcMar>
              <w:top w:type="dxa" w:w="100"/>
              <w:left w:type="dxa" w:w="120"/>
              <w:bottom w:type="dxa" w:w="100"/>
              <w:right w:type="dxa" w:w="120"/>
            </w:tcMar>
          </w:tcPr>
          <w:p>
            <w:r>
              <w:rPr>
                <w:b w:val="false"/>
                <w:bCs w:val="false"/>
                <w:i w:val="false"/>
                <w:iCs w:val="false"/>
              </w:rPr>
              <w:t xml:space="preserve">Durable hosting (beyond the demo environment), durable login sessions, finer-grained user roles if needed, SMS/push alerts alongside email, and a native mobile app if the client specifically requires App Store/Play Store presence over the installable web app already built.</w:t>
            </w:r>
          </w:p>
        </w:tc>
      </w:tr>
      <w:tr>
        <w:tc>
          <w:tcPr>
            <w:tcW w:type="dxa" w:w="2600"/>
            <w:tcMar>
              <w:top w:type="dxa" w:w="100"/>
              <w:left w:type="dxa" w:w="120"/>
              <w:bottom w:type="dxa" w:w="100"/>
              <w:right w:type="dxa" w:w="120"/>
            </w:tcMar>
          </w:tcPr>
          <w:p>
            <w:r>
              <w:rPr>
                <w:b/>
                <w:bCs/>
                <w:i w:val="false"/>
                <w:iCs w:val="false"/>
              </w:rPr>
              <w:t xml:space="preserve">Phase 5 — Rollout &amp; Handover</w:t>
            </w:r>
          </w:p>
        </w:tc>
        <w:tc>
          <w:tcPr>
            <w:tcW w:type="dxa" w:w="2200"/>
            <w:shd w:fill="FFFBEB" w:val="clear"/>
            <w:tcMar>
              <w:top w:type="dxa" w:w="100"/>
              <w:left w:type="dxa" w:w="120"/>
              <w:bottom w:type="dxa" w:w="100"/>
              <w:right w:type="dxa" w:w="120"/>
            </w:tcMar>
          </w:tcPr>
          <w:p>
            <w:r>
              <w:rPr>
                <w:b w:val="false"/>
                <w:bCs w:val="false"/>
                <w:i w:val="false"/>
                <w:iCs w:val="false"/>
              </w:rPr>
              <w:t xml:space="preserve">Not started</w:t>
            </w:r>
          </w:p>
        </w:tc>
        <w:tc>
          <w:tcPr>
            <w:tcW w:type="dxa" w:w="4560"/>
            <w:tcMar>
              <w:top w:type="dxa" w:w="100"/>
              <w:left w:type="dxa" w:w="120"/>
              <w:bottom w:type="dxa" w:w="100"/>
              <w:right w:type="dxa" w:w="120"/>
            </w:tcMar>
          </w:tcPr>
          <w:p>
            <w:r>
              <w:rPr>
                <w:b w:val="false"/>
                <w:bCs w:val="false"/>
                <w:i w:val="false"/>
                <w:iCs w:val="false"/>
              </w:rPr>
              <w:t xml:space="preserve">Threshold tuning against real data, user training/handover, documentation, support transition.</w:t>
            </w:r>
          </w:p>
        </w:tc>
      </w:tr>
    </w:tbl>
    <w:p>
      <w:pPr>
        <w:pStyle w:val="Heading1"/>
        <w:spacing w:after="140" w:before="320"/>
      </w:pPr>
      <w:r>
        <w:t xml:space="preserve">In scope</w:t>
      </w:r>
    </w:p>
    <w:p>
      <w:pPr>
        <w:spacing w:after="160"/>
      </w:pPr>
      <w:r>
        <w:t xml:space="preserve">Delivered and demonstrated as part of the software platform:</w:t>
      </w:r>
    </w:p>
    <w:p>
      <w:pPr>
        <w:pStyle w:val="ListParagraph"/>
        <w:numPr>
          <w:ilvl w:val="0"/>
          <w:numId w:val="1"/>
        </w:numPr>
        <w:spacing w:after="80"/>
      </w:pPr>
      <w:r>
        <w:t xml:space="preserve">Web dashboard: per-building energy, water-flow, and tank-level monitoring with live updates</w:t>
      </w:r>
    </w:p>
    <w:p>
      <w:pPr>
        <w:pStyle w:val="ListParagraph"/>
        <w:numPr>
          <w:ilvl w:val="0"/>
          <w:numId w:val="1"/>
        </w:numPr>
        <w:spacing w:after="80"/>
      </w:pPr>
      <w:r>
        <w:t xml:space="preserve">Trend history (sparklines) and configurable usage/low-level thresholds per building</w:t>
      </w:r>
    </w:p>
    <w:p>
      <w:pPr>
        <w:pStyle w:val="ListParagraph"/>
        <w:numPr>
          <w:ilvl w:val="0"/>
          <w:numId w:val="1"/>
        </w:numPr>
        <w:spacing w:after="80"/>
      </w:pPr>
      <w:r>
        <w:t xml:space="preserve">Automatic leak/burst detection based on abnormal tank-level drop rate</w:t>
      </w:r>
    </w:p>
    <w:p>
      <w:pPr>
        <w:pStyle w:val="ListParagraph"/>
        <w:numPr>
          <w:ilvl w:val="0"/>
          <w:numId w:val="1"/>
        </w:numPr>
        <w:spacing w:after="80"/>
      </w:pPr>
      <w:r>
        <w:t xml:space="preserve">Automatic email alerts to a designated contact per customer portfolio when an alert starts</w:t>
      </w:r>
    </w:p>
    <w:p>
      <w:pPr>
        <w:pStyle w:val="ListParagraph"/>
        <w:numPr>
          <w:ilvl w:val="0"/>
          <w:numId w:val="1"/>
        </w:numPr>
        <w:spacing w:after="80"/>
      </w:pPr>
      <w:r>
        <w:t xml:space="preserve">Remote device control (e.g. tank inlet pump on/off) from the dashboard</w:t>
      </w:r>
    </w:p>
    <w:p>
      <w:pPr>
        <w:pStyle w:val="ListParagraph"/>
        <w:numPr>
          <w:ilvl w:val="0"/>
          <w:numId w:val="1"/>
        </w:numPr>
        <w:spacing w:after="80"/>
      </w:pPr>
      <w:r>
        <w:t xml:space="preserve">Multi-building and multi-customer portfolio support, with each user restricted to their own data</w:t>
      </w:r>
    </w:p>
    <w:p>
      <w:pPr>
        <w:pStyle w:val="ListParagraph"/>
        <w:numPr>
          <w:ilvl w:val="0"/>
          <w:numId w:val="1"/>
        </w:numPr>
        <w:spacing w:after="80"/>
      </w:pPr>
      <w:r>
        <w:t xml:space="preserve">Login-based access control</w:t>
      </w:r>
    </w:p>
    <w:p>
      <w:pPr>
        <w:pStyle w:val="ListParagraph"/>
        <w:numPr>
          <w:ilvl w:val="0"/>
          <w:numId w:val="1"/>
        </w:numPr>
        <w:spacing w:after="80"/>
      </w:pPr>
      <w:r>
        <w:t xml:space="preserve">Installable web app (PWA) — home-screen install, app-like launch, on phone or desktop</w:t>
      </w:r>
    </w:p>
    <w:p>
      <w:pPr>
        <w:pStyle w:val="ListParagraph"/>
        <w:numPr>
          <w:ilvl w:val="0"/>
          <w:numId w:val="1"/>
        </w:numPr>
        <w:spacing w:after="80"/>
      </w:pPr>
      <w:r>
        <w:t xml:space="preserve">A defined, tested API endpoint ready to receive real meter/sensor readings from a gateway</w:t>
      </w:r>
    </w:p>
    <w:p>
      <w:pPr>
        <w:pStyle w:val="Heading1"/>
        <w:spacing w:after="140" w:before="320"/>
      </w:pPr>
      <w:r>
        <w:t xml:space="preserve">Out of scope</w:t>
      </w:r>
    </w:p>
    <w:p>
      <w:pPr>
        <w:spacing w:after="160"/>
      </w:pPr>
      <w:r>
        <w:t xml:space="preserve">Explicitly not covered by the work completed to date, and not included until scoped/quoted separately:</w:t>
      </w:r>
    </w:p>
    <w:p>
      <w:pPr>
        <w:pStyle w:val="ListParagraph"/>
        <w:numPr>
          <w:ilvl w:val="0"/>
          <w:numId w:val="1"/>
        </w:numPr>
        <w:spacing w:after="80"/>
      </w:pPr>
      <w:r>
        <w:t xml:space="preserve">Physical meters, sensors, or gateway hardware (selection and cost depend on Phase 1 discovery)</w:t>
      </w:r>
    </w:p>
    <w:p>
      <w:pPr>
        <w:pStyle w:val="ListParagraph"/>
        <w:numPr>
          <w:ilvl w:val="0"/>
          <w:numId w:val="1"/>
        </w:numPr>
        <w:spacing w:after="80"/>
      </w:pPr>
      <w:r>
        <w:t xml:space="preserve">Installation/wiring of physical hardware at building sites</w:t>
      </w:r>
    </w:p>
    <w:p>
      <w:pPr>
        <w:pStyle w:val="ListParagraph"/>
        <w:numPr>
          <w:ilvl w:val="0"/>
          <w:numId w:val="1"/>
        </w:numPr>
        <w:spacing w:after="80"/>
      </w:pPr>
      <w:r>
        <w:t xml:space="preserve">Ongoing hardware maintenance, firmware updates, or vendor support contracts</w:t>
      </w:r>
    </w:p>
    <w:p>
      <w:pPr>
        <w:pStyle w:val="ListParagraph"/>
        <w:numPr>
          <w:ilvl w:val="0"/>
          <w:numId w:val="1"/>
        </w:numPr>
        <w:spacing w:after="80"/>
      </w:pPr>
      <w:r>
        <w:t xml:space="preserve">Native App Store / Play Store mobile app (unless specifically requested — see Phase 4)</w:t>
      </w:r>
    </w:p>
    <w:p>
      <w:pPr>
        <w:pStyle w:val="ListParagraph"/>
        <w:numPr>
          <w:ilvl w:val="0"/>
          <w:numId w:val="1"/>
        </w:numPr>
        <w:spacing w:after="80"/>
      </w:pPr>
      <w:r>
        <w:t xml:space="preserve">SMS or push notification delivery (email is built; SMS/push are a Phase 4 addition)</w:t>
      </w:r>
    </w:p>
    <w:p>
      <w:pPr>
        <w:pStyle w:val="ListParagraph"/>
        <w:numPr>
          <w:ilvl w:val="0"/>
          <w:numId w:val="1"/>
        </w:numPr>
        <w:spacing w:after="80"/>
      </w:pPr>
      <w:r>
        <w:t xml:space="preserve">Data migration from any existing monitoring system, if one exists</w:t>
      </w:r>
    </w:p>
    <w:p>
      <w:pPr>
        <w:pStyle w:val="ListParagraph"/>
        <w:numPr>
          <w:ilvl w:val="0"/>
          <w:numId w:val="1"/>
        </w:numPr>
        <w:spacing w:after="80"/>
      </w:pPr>
      <w:r>
        <w:t xml:space="preserve">Ongoing hosting costs beyond the initial deployment (billed separately based on chosen host)</w:t>
      </w:r>
    </w:p>
    <w:p>
      <w:pPr>
        <w:pStyle w:val="Heading1"/>
        <w:spacing w:after="140" w:before="320"/>
      </w:pPr>
      <w:r>
        <w:t xml:space="preserve">Client responsibilities</w:t>
      </w:r>
    </w:p>
    <w:p>
      <w:pPr>
        <w:spacing w:after="160"/>
      </w:pPr>
      <w:r>
        <w:t xml:space="preserve">The following are needed from the client for Phase 1 onward to proceed:</w:t>
      </w:r>
    </w:p>
    <w:p>
      <w:pPr>
        <w:pStyle w:val="ListParagraph"/>
        <w:numPr>
          <w:ilvl w:val="0"/>
          <w:numId w:val="1"/>
        </w:numPr>
        <w:spacing w:after="80"/>
      </w:pPr>
      <w:r>
        <w:t xml:space="preserve">Provide meter/sensor make, model, and connectivity details per building</w:t>
      </w:r>
    </w:p>
    <w:p>
      <w:pPr>
        <w:pStyle w:val="ListParagraph"/>
        <w:numPr>
          <w:ilvl w:val="0"/>
          <w:numId w:val="1"/>
        </w:numPr>
        <w:spacing w:after="80"/>
      </w:pPr>
      <w:r>
        <w:t xml:space="preserve">Provide (or approve procurement of) network/internet access at each building for the gateway</w:t>
      </w:r>
    </w:p>
    <w:p>
      <w:pPr>
        <w:pStyle w:val="ListParagraph"/>
        <w:numPr>
          <w:ilvl w:val="0"/>
          <w:numId w:val="1"/>
        </w:numPr>
        <w:spacing w:after="80"/>
      </w:pPr>
      <w:r>
        <w:t xml:space="preserve">Confirm real usage and low-tank-level thresholds per building</w:t>
      </w:r>
    </w:p>
    <w:p>
      <w:pPr>
        <w:pStyle w:val="ListParagraph"/>
        <w:numPr>
          <w:ilvl w:val="0"/>
          <w:numId w:val="1"/>
        </w:numPr>
        <w:spacing w:after="80"/>
      </w:pPr>
      <w:r>
        <w:t xml:space="preserve">Confirm who needs dashboard access and at what level (owner, building manager, resident)</w:t>
      </w:r>
    </w:p>
    <w:p>
      <w:pPr>
        <w:pStyle w:val="ListParagraph"/>
        <w:numPr>
          <w:ilvl w:val="0"/>
          <w:numId w:val="1"/>
        </w:numPr>
        <w:spacing w:after="80"/>
      </w:pPr>
      <w:r>
        <w:t xml:space="preserve">Provide timely feedback during Phase 1 discovery, since it blocks Phases 2 onward</w:t>
      </w:r>
    </w:p>
    <w:p>
      <w:pPr>
        <w:pStyle w:val="ListParagraph"/>
        <w:numPr>
          <w:ilvl w:val="0"/>
          <w:numId w:val="1"/>
        </w:numPr>
        <w:spacing w:after="80"/>
      </w:pPr>
      <w:r>
        <w:t xml:space="preserve">Approve budget for physical hardware once Phase 1 defines what is needed</w:t>
      </w:r>
    </w:p>
    <w:p>
      <w:pPr>
        <w:pStyle w:val="Heading1"/>
        <w:spacing w:after="140" w:before="320"/>
      </w:pPr>
      <w:r>
        <w:t xml:space="preserve">Assumptions</w:t>
      </w:r>
    </w:p>
    <w:p>
      <w:pPr>
        <w:pStyle w:val="ListParagraph"/>
        <w:numPr>
          <w:ilvl w:val="0"/>
          <w:numId w:val="1"/>
        </w:numPr>
        <w:spacing w:after="80"/>
      </w:pPr>
      <w:r>
        <w:t xml:space="preserve">Pricing for Phases 1–5 will be issued as a separate quote once Phase 1 discovery answers are known — hardware cost varies significantly by connectivity type and building count.</w:t>
      </w:r>
    </w:p>
    <w:p>
      <w:pPr>
        <w:pStyle w:val="ListParagraph"/>
        <w:numPr>
          <w:ilvl w:val="0"/>
          <w:numId w:val="1"/>
        </w:numPr>
        <w:spacing w:after="80"/>
      </w:pPr>
      <w:r>
        <w:t xml:space="preserve">This scope assumes buildings covered are those discussed on this call; additional buildings/sites can be added under a change order.</w:t>
      </w:r>
    </w:p>
    <w:p>
      <w:pPr>
        <w:pStyle w:val="ListParagraph"/>
        <w:numPr>
          <w:ilvl w:val="0"/>
          <w:numId w:val="1"/>
        </w:numPr>
        <w:spacing w:after="80"/>
      </w:pPr>
      <w:r>
        <w:t xml:space="preserve">The current demo environment is temporary; a durable hosting decision is part of Phase 4.</w:t>
      </w:r>
    </w:p>
    <w:p>
      <w:pPr>
        <w:pStyle w:val="ListParagraph"/>
        <w:numPr>
          <w:ilvl w:val="0"/>
          <w:numId w:val="1"/>
        </w:numPr>
        <w:spacing w:after="80"/>
      </w:pPr>
      <w:r>
        <w:t xml:space="preserve">Where the client already has usable network infrastructure at a building, gateway cost is reduced accordingly.</w:t>
      </w:r>
    </w:p>
    <w:p>
      <w:pPr>
        <w:pStyle w:val="Heading1"/>
        <w:spacing w:after="140" w:before="320"/>
      </w:pPr>
      <w:r>
        <w:t xml:space="preserve">Timeline &amp; pricing</w:t>
      </w:r>
    </w:p>
    <w:p>
      <w:pPr>
        <w:spacing w:after="160"/>
      </w:pPr>
      <w:r>
        <w:t xml:space="preserve">Phase 0 (software platform) is complete at no further cost to reach this point. Timeline and pricing for Phases 1 through 5 depend directly on the hardware/connectivity answers gathered in Phase 1, and will be issued as a firm quote once that discovery is complete. As a rough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c>
          <w:tcPr>
            <w:tcW w:type="dxa" w:w="3400"/>
            <w:shd w:fill="EFF6FF" w:val="clear"/>
            <w:tcMar>
              <w:top w:type="dxa" w:w="100"/>
              <w:left w:type="dxa" w:w="120"/>
              <w:bottom w:type="dxa" w:w="100"/>
              <w:right w:type="dxa" w:w="120"/>
            </w:tcMar>
          </w:tcPr>
          <w:p>
            <w:r>
              <w:rPr>
                <w:b/>
                <w:bCs/>
                <w:i w:val="false"/>
                <w:iCs w:val="false"/>
              </w:rPr>
              <w:t xml:space="preserve">Phase</w:t>
            </w:r>
          </w:p>
        </w:tc>
        <w:tc>
          <w:tcPr>
            <w:tcW w:type="dxa" w:w="2980"/>
            <w:shd w:fill="EFF6FF" w:val="clear"/>
            <w:tcMar>
              <w:top w:type="dxa" w:w="100"/>
              <w:left w:type="dxa" w:w="120"/>
              <w:bottom w:type="dxa" w:w="100"/>
              <w:right w:type="dxa" w:w="120"/>
            </w:tcMar>
          </w:tcPr>
          <w:p>
            <w:r>
              <w:rPr>
                <w:b/>
                <w:bCs/>
                <w:i w:val="false"/>
                <w:iCs w:val="false"/>
              </w:rPr>
              <w:t xml:space="preserve">Timeline</w:t>
            </w:r>
          </w:p>
        </w:tc>
        <w:tc>
          <w:tcPr>
            <w:tcW w:type="dxa" w:w="2980"/>
            <w:shd w:fill="EFF6FF" w:val="clear"/>
            <w:tcMar>
              <w:top w:type="dxa" w:w="100"/>
              <w:left w:type="dxa" w:w="120"/>
              <w:bottom w:type="dxa" w:w="100"/>
              <w:right w:type="dxa" w:w="120"/>
            </w:tcMar>
          </w:tcPr>
          <w:p>
            <w:r>
              <w:rPr>
                <w:b/>
                <w:bCs/>
                <w:i w:val="false"/>
                <w:iCs w:val="false"/>
              </w:rPr>
              <w:t xml:space="preserve">Pricing</w:t>
            </w:r>
          </w:p>
        </w:tc>
      </w:tr>
      <w:tr>
        <w:tc>
          <w:tcPr>
            <w:tcW w:type="dxa" w:w="3400"/>
            <w:tcMar>
              <w:top w:type="dxa" w:w="100"/>
              <w:left w:type="dxa" w:w="120"/>
              <w:bottom w:type="dxa" w:w="100"/>
              <w:right w:type="dxa" w:w="120"/>
            </w:tcMar>
          </w:tcPr>
          <w:p>
            <w:r>
              <w:rPr>
                <w:b w:val="false"/>
                <w:bCs w:val="false"/>
                <w:i w:val="false"/>
                <w:iCs w:val="false"/>
              </w:rPr>
              <w:t xml:space="preserve">Phase 0 — Software platform</w:t>
            </w:r>
          </w:p>
        </w:tc>
        <w:tc>
          <w:tcPr>
            <w:tcW w:type="dxa" w:w="2980"/>
            <w:tcMar>
              <w:top w:type="dxa" w:w="100"/>
              <w:left w:type="dxa" w:w="120"/>
              <w:bottom w:type="dxa" w:w="100"/>
              <w:right w:type="dxa" w:w="120"/>
            </w:tcMar>
          </w:tcPr>
          <w:p>
            <w:r>
              <w:rPr>
                <w:b w:val="false"/>
                <w:bCs w:val="false"/>
                <w:i w:val="false"/>
                <w:iCs w:val="false"/>
              </w:rPr>
              <w:t xml:space="preserve">Complete</w:t>
            </w:r>
          </w:p>
        </w:tc>
        <w:tc>
          <w:tcPr>
            <w:tcW w:type="dxa" w:w="2980"/>
            <w:tcMar>
              <w:top w:type="dxa" w:w="100"/>
              <w:left w:type="dxa" w:w="120"/>
              <w:bottom w:type="dxa" w:w="100"/>
              <w:right w:type="dxa" w:w="120"/>
            </w:tcMar>
          </w:tcPr>
          <w:p>
            <w:r>
              <w:rPr>
                <w:b w:val="false"/>
                <w:bCs w:val="false"/>
                <w:i w:val="false"/>
                <w:iCs w:val="false"/>
              </w:rPr>
              <w:t xml:space="preserve">Complete</w:t>
            </w:r>
          </w:p>
        </w:tc>
      </w:tr>
      <w:tr>
        <w:tc>
          <w:tcPr>
            <w:tcW w:type="dxa" w:w="3400"/>
            <w:tcMar>
              <w:top w:type="dxa" w:w="100"/>
              <w:left w:type="dxa" w:w="120"/>
              <w:bottom w:type="dxa" w:w="100"/>
              <w:right w:type="dxa" w:w="120"/>
            </w:tcMar>
          </w:tcPr>
          <w:p>
            <w:r>
              <w:rPr>
                <w:b w:val="false"/>
                <w:bCs w:val="false"/>
                <w:i w:val="false"/>
                <w:iCs w:val="false"/>
              </w:rPr>
              <w:t xml:space="preserve">Phase 1 — Discovery</w:t>
            </w:r>
          </w:p>
        </w:tc>
        <w:tc>
          <w:tcPr>
            <w:tcW w:type="dxa" w:w="2980"/>
            <w:tcMar>
              <w:top w:type="dxa" w:w="100"/>
              <w:left w:type="dxa" w:w="120"/>
              <w:bottom w:type="dxa" w:w="100"/>
              <w:right w:type="dxa" w:w="120"/>
            </w:tcMar>
          </w:tcPr>
          <w:p>
            <w:r>
              <w:rPr>
                <w:b w:val="false"/>
                <w:bCs w:val="false"/>
                <w:i/>
                <w:iCs/>
              </w:rPr>
              <w:t xml:space="preserve">TBD — pending call</w:t>
            </w:r>
          </w:p>
        </w:tc>
        <w:tc>
          <w:tcPr>
            <w:tcW w:type="dxa" w:w="2980"/>
            <w:tcMar>
              <w:top w:type="dxa" w:w="100"/>
              <w:left w:type="dxa" w:w="120"/>
              <w:bottom w:type="dxa" w:w="100"/>
              <w:right w:type="dxa" w:w="120"/>
            </w:tcMar>
          </w:tcPr>
          <w:p>
            <w:r>
              <w:rPr>
                <w:b w:val="false"/>
                <w:bCs w:val="false"/>
                <w:i/>
                <w:iCs/>
              </w:rPr>
              <w:t xml:space="preserve">TBD</w:t>
            </w:r>
          </w:p>
        </w:tc>
      </w:tr>
      <w:tr>
        <w:tc>
          <w:tcPr>
            <w:tcW w:type="dxa" w:w="3400"/>
            <w:tcMar>
              <w:top w:type="dxa" w:w="100"/>
              <w:left w:type="dxa" w:w="120"/>
              <w:bottom w:type="dxa" w:w="100"/>
              <w:right w:type="dxa" w:w="120"/>
            </w:tcMar>
          </w:tcPr>
          <w:p>
            <w:r>
              <w:rPr>
                <w:b w:val="false"/>
                <w:bCs w:val="false"/>
                <w:i w:val="false"/>
                <w:iCs w:val="false"/>
              </w:rPr>
              <w:t xml:space="preserve">Phase 2 — Hardware &amp; gateway</w:t>
            </w:r>
          </w:p>
        </w:tc>
        <w:tc>
          <w:tcPr>
            <w:tcW w:type="dxa" w:w="2980"/>
            <w:tcMar>
              <w:top w:type="dxa" w:w="100"/>
              <w:left w:type="dxa" w:w="120"/>
              <w:bottom w:type="dxa" w:w="100"/>
              <w:right w:type="dxa" w:w="120"/>
            </w:tcMar>
          </w:tcPr>
          <w:p>
            <w:r>
              <w:rPr>
                <w:b w:val="false"/>
                <w:bCs w:val="false"/>
                <w:i/>
                <w:iCs/>
              </w:rPr>
              <w:t xml:space="preserve">TBD — depends on Phase 1</w:t>
            </w:r>
          </w:p>
        </w:tc>
        <w:tc>
          <w:tcPr>
            <w:tcW w:type="dxa" w:w="2980"/>
            <w:tcMar>
              <w:top w:type="dxa" w:w="100"/>
              <w:left w:type="dxa" w:w="120"/>
              <w:bottom w:type="dxa" w:w="100"/>
              <w:right w:type="dxa" w:w="120"/>
            </w:tcMar>
          </w:tcPr>
          <w:p>
            <w:r>
              <w:rPr>
                <w:b w:val="false"/>
                <w:bCs w:val="false"/>
                <w:i/>
                <w:iCs/>
              </w:rPr>
              <w:t xml:space="preserve">TBD</w:t>
            </w:r>
          </w:p>
        </w:tc>
      </w:tr>
      <w:tr>
        <w:tc>
          <w:tcPr>
            <w:tcW w:type="dxa" w:w="3400"/>
            <w:tcMar>
              <w:top w:type="dxa" w:w="100"/>
              <w:left w:type="dxa" w:w="120"/>
              <w:bottom w:type="dxa" w:w="100"/>
              <w:right w:type="dxa" w:w="120"/>
            </w:tcMar>
          </w:tcPr>
          <w:p>
            <w:r>
              <w:rPr>
                <w:b w:val="false"/>
                <w:bCs w:val="false"/>
                <w:i w:val="false"/>
                <w:iCs w:val="false"/>
              </w:rPr>
              <w:t xml:space="preserve">Phase 3 — Live integration</w:t>
            </w:r>
          </w:p>
        </w:tc>
        <w:tc>
          <w:tcPr>
            <w:tcW w:type="dxa" w:w="2980"/>
            <w:tcMar>
              <w:top w:type="dxa" w:w="100"/>
              <w:left w:type="dxa" w:w="120"/>
              <w:bottom w:type="dxa" w:w="100"/>
              <w:right w:type="dxa" w:w="120"/>
            </w:tcMar>
          </w:tcPr>
          <w:p>
            <w:r>
              <w:rPr>
                <w:b w:val="false"/>
                <w:bCs w:val="false"/>
                <w:i/>
                <w:iCs/>
              </w:rPr>
              <w:t xml:space="preserve">TBD</w:t>
            </w:r>
          </w:p>
        </w:tc>
        <w:tc>
          <w:tcPr>
            <w:tcW w:type="dxa" w:w="2980"/>
            <w:tcMar>
              <w:top w:type="dxa" w:w="100"/>
              <w:left w:type="dxa" w:w="120"/>
              <w:bottom w:type="dxa" w:w="100"/>
              <w:right w:type="dxa" w:w="120"/>
            </w:tcMar>
          </w:tcPr>
          <w:p>
            <w:r>
              <w:rPr>
                <w:b w:val="false"/>
                <w:bCs w:val="false"/>
                <w:i/>
                <w:iCs/>
              </w:rPr>
              <w:t xml:space="preserve">TBD</w:t>
            </w:r>
          </w:p>
        </w:tc>
      </w:tr>
      <w:tr>
        <w:tc>
          <w:tcPr>
            <w:tcW w:type="dxa" w:w="3400"/>
            <w:tcMar>
              <w:top w:type="dxa" w:w="100"/>
              <w:left w:type="dxa" w:w="120"/>
              <w:bottom w:type="dxa" w:w="100"/>
              <w:right w:type="dxa" w:w="120"/>
            </w:tcMar>
          </w:tcPr>
          <w:p>
            <w:r>
              <w:rPr>
                <w:b w:val="false"/>
                <w:bCs w:val="false"/>
                <w:i w:val="false"/>
                <w:iCs w:val="false"/>
              </w:rPr>
              <w:t xml:space="preserve">Phase 4 — Production hardening</w:t>
            </w:r>
          </w:p>
        </w:tc>
        <w:tc>
          <w:tcPr>
            <w:tcW w:type="dxa" w:w="2980"/>
            <w:tcMar>
              <w:top w:type="dxa" w:w="100"/>
              <w:left w:type="dxa" w:w="120"/>
              <w:bottom w:type="dxa" w:w="100"/>
              <w:right w:type="dxa" w:w="120"/>
            </w:tcMar>
          </w:tcPr>
          <w:p>
            <w:r>
              <w:rPr>
                <w:b w:val="false"/>
                <w:bCs w:val="false"/>
                <w:i/>
                <w:iCs/>
              </w:rPr>
              <w:t xml:space="preserve">TBD</w:t>
            </w:r>
          </w:p>
        </w:tc>
        <w:tc>
          <w:tcPr>
            <w:tcW w:type="dxa" w:w="2980"/>
            <w:tcMar>
              <w:top w:type="dxa" w:w="100"/>
              <w:left w:type="dxa" w:w="120"/>
              <w:bottom w:type="dxa" w:w="100"/>
              <w:right w:type="dxa" w:w="120"/>
            </w:tcMar>
          </w:tcPr>
          <w:p>
            <w:r>
              <w:rPr>
                <w:b w:val="false"/>
                <w:bCs w:val="false"/>
                <w:i/>
                <w:iCs/>
              </w:rPr>
              <w:t xml:space="preserve">TBD</w:t>
            </w:r>
          </w:p>
        </w:tc>
      </w:tr>
      <w:tr>
        <w:tc>
          <w:tcPr>
            <w:tcW w:type="dxa" w:w="3400"/>
            <w:tcMar>
              <w:top w:type="dxa" w:w="100"/>
              <w:left w:type="dxa" w:w="120"/>
              <w:bottom w:type="dxa" w:w="100"/>
              <w:right w:type="dxa" w:w="120"/>
            </w:tcMar>
          </w:tcPr>
          <w:p>
            <w:r>
              <w:rPr>
                <w:b w:val="false"/>
                <w:bCs w:val="false"/>
                <w:i w:val="false"/>
                <w:iCs w:val="false"/>
              </w:rPr>
              <w:t xml:space="preserve">Phase 5 — Rollout &amp; handover</w:t>
            </w:r>
          </w:p>
        </w:tc>
        <w:tc>
          <w:tcPr>
            <w:tcW w:type="dxa" w:w="2980"/>
            <w:tcMar>
              <w:top w:type="dxa" w:w="100"/>
              <w:left w:type="dxa" w:w="120"/>
              <w:bottom w:type="dxa" w:w="100"/>
              <w:right w:type="dxa" w:w="120"/>
            </w:tcMar>
          </w:tcPr>
          <w:p>
            <w:r>
              <w:rPr>
                <w:b w:val="false"/>
                <w:bCs w:val="false"/>
                <w:i/>
                <w:iCs/>
              </w:rPr>
              <w:t xml:space="preserve">TBD</w:t>
            </w:r>
          </w:p>
        </w:tc>
        <w:tc>
          <w:tcPr>
            <w:tcW w:type="dxa" w:w="2980"/>
            <w:tcMar>
              <w:top w:type="dxa" w:w="100"/>
              <w:left w:type="dxa" w:w="120"/>
              <w:bottom w:type="dxa" w:w="100"/>
              <w:right w:type="dxa" w:w="120"/>
            </w:tcMar>
          </w:tcPr>
          <w:p>
            <w:r>
              <w:rPr>
                <w:b w:val="false"/>
                <w:bCs w:val="false"/>
                <w:i/>
                <w:iCs/>
              </w:rPr>
              <w:t xml:space="preserve">TBD</w:t>
            </w:r>
          </w:p>
        </w:tc>
      </w:tr>
    </w:tbl>
    <w:p>
      <w:pPr>
        <w:pStyle w:val="Heading1"/>
        <w:spacing w:after="140" w:before="320"/>
      </w:pPr>
      <w:r>
        <w:t xml:space="preserve">Change management</w:t>
      </w:r>
    </w:p>
    <w:p>
      <w:pPr>
        <w:spacing w:after="160"/>
      </w:pPr>
      <w:r>
        <w:t xml:space="preserve">Any work outside the "In scope" section above — additional buildings, additional portfolios, native mobile app development, or features not listed — will be handled as a separate change order with its own timeline and pricing, agreed in writing before work begins.</w:t>
      </w:r>
    </w:p>
    <w:p>
      <w:pPr>
        <w:pBdr>
          <w:top w:val="single" w:color="E2E6EA" w:sz="6" w:space="12"/>
        </w:pBdr>
        <w:spacing w:before="400"/>
      </w:pPr>
    </w:p>
    <w:p>
      <w:pPr>
        <w:spacing w:after="160"/>
      </w:pPr>
      <w:r>
        <w:rPr>
          <w:i/>
          <w:iCs/>
          <w:color w:val="64707D"/>
          <w:sz w:val="18"/>
          <w:szCs w:val="18"/>
        </w:rPr>
        <w:t xml:space="preserve">Utility Monitor — Scope of Work (Draft)</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2026-09-03T14:52:04.034Z</dcterms:created>
  <dcterms:modified xsi:type="dcterms:W3CDTF">2026-09-03T14:52:04.140Z</dcterms:modified>
</cp:coreProperties>
</file>

<file path=docProps/custom.xml><?xml version="1.0" encoding="utf-8"?>
<Properties xmlns="http://schemas.openxmlformats.org/officeDocument/2006/custom-properties" xmlns:vt="http://schemas.openxmlformats.org/officeDocument/2006/docPropsVTypes"/>
</file>