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Accord de Collaboration – Projet PolyLudo</w:t>
      </w:r>
    </w:p>
    <w:p>
      <w:pPr/>
      <w:r>
        <w:t>Entre les soussignés :</w:t>
      </w:r>
    </w:p>
    <w:p>
      <w:pPr/>
      <w:r>
        <w:t>- Jean-Marie Pironneau, ci-après dénommé « Partenaire Commercial »</w:t>
      </w:r>
    </w:p>
    <w:p>
      <w:pPr/>
      <w:r>
        <w:t>- Ambroise Bazie, ci-après dénommé « Partenaire Technique »</w:t>
      </w:r>
    </w:p>
    <w:p>
      <w:pPr>
        <w:pStyle w:val="Heading1"/>
      </w:pPr>
      <w:r>
        <w:t>Objet :</w:t>
      </w:r>
    </w:p>
    <w:p>
      <w:pPr/>
      <w:r>
        <w:t>Création et exploitation d’un jeu mobile appelé PolyLudo, inspiré de Ludo King avec des extensions de type Monopoly, disponible sur iOS et Android.</w:t>
      </w:r>
    </w:p>
    <w:p>
      <w:pPr>
        <w:pStyle w:val="Heading1"/>
      </w:pPr>
      <w:r>
        <w:t>1. Rôles et responsabilités</w:t>
      </w:r>
    </w:p>
    <w:p>
      <w:pPr/>
      <w:r>
        <w:t>Ambroise Bazie : Développement du code, design et intégration pour les plateformes iOS et Android.</w:t>
      </w:r>
    </w:p>
    <w:p>
      <w:pPr/>
      <w:r>
        <w:t>Jean-Marie Pironneau : Commercialisation, administration et gestion des opérations stratégiques.</w:t>
      </w:r>
    </w:p>
    <w:p>
      <w:pPr>
        <w:pStyle w:val="Heading1"/>
      </w:pPr>
      <w:r>
        <w:t>2. Répartition des revenus</w:t>
      </w:r>
    </w:p>
    <w:p>
      <w:pPr/>
      <w:r>
        <w:t>Les revenus générés par le projet PolyLudo seront répartis à parts égales (50/50) entre les deux parties.</w:t>
      </w:r>
    </w:p>
    <w:p>
      <w:pPr/>
      <w:r>
        <w:t>Les frais éventuels (hébergement, publicité, etc.) seront déduits avant répartition, selon accord préalable.</w:t>
      </w:r>
    </w:p>
    <w:p>
      <w:pPr>
        <w:pStyle w:val="Heading1"/>
      </w:pPr>
      <w:r>
        <w:t>3. Commercialisation</w:t>
      </w:r>
    </w:p>
    <w:p>
      <w:pPr/>
      <w:r>
        <w:t>La commercialisation est conjointe : aucune des deux parties ne peut vendre, distribuer ou exploiter le jeu sans l’accord écrit de l’autre.</w:t>
      </w:r>
    </w:p>
    <w:p>
      <w:pPr/>
      <w:r>
        <w:t>Toute initiative commerciale doit être validée par les deux parties.</w:t>
      </w:r>
    </w:p>
    <w:p>
      <w:pPr>
        <w:pStyle w:val="Heading1"/>
      </w:pPr>
      <w:r>
        <w:t>4. Propriété intellectuelle</w:t>
      </w:r>
    </w:p>
    <w:p>
      <w:pPr/>
      <w:r>
        <w:t>Le code, le design et les éléments graphiques sont la propriété conjointe des deux parties.</w:t>
      </w:r>
    </w:p>
    <w:p>
      <w:pPr/>
      <w:r>
        <w:t>Aucun transfert ou cession à un tiers sans accord écrit des deux parties.</w:t>
      </w:r>
    </w:p>
    <w:p>
      <w:pPr>
        <w:pStyle w:val="Heading1"/>
      </w:pPr>
      <w:r>
        <w:t>5. Durée et résiliation</w:t>
      </w:r>
    </w:p>
    <w:p>
      <w:pPr/>
      <w:r>
        <w:t>Cet accord prend effet à la date de signature et reste valable jusqu’à résiliation par consentement mutuel ou en cas de manquement grave.</w:t>
      </w:r>
    </w:p>
    <w:p>
      <w:pPr/>
      <w:r>
        <w:t>En cas de résiliation, les droits et revenus générés jusqu’à la date de rupture seront répartis selon les mêmes modalités.</w:t>
      </w:r>
    </w:p>
    <w:p>
      <w:pPr>
        <w:pStyle w:val="Heading1"/>
      </w:pPr>
      <w:r>
        <w:t>6. Confidentialité</w:t>
      </w:r>
    </w:p>
    <w:p>
      <w:pPr/>
      <w:r>
        <w:t>Les informations techniques, commerciales et stratégiques échangées dans le cadre du projet sont confidentielles.</w:t>
      </w:r>
    </w:p>
    <w:p>
      <w:pPr>
        <w:pStyle w:val="Heading1"/>
      </w:pPr>
      <w:r>
        <w:t>7. Litiges</w:t>
      </w:r>
    </w:p>
    <w:p>
      <w:pPr/>
      <w:r>
        <w:t>En cas de litige, les parties s’engagent à rechercher une solution amiable avant toute action judiciaire.</w:t>
      </w:r>
    </w:p>
    <w:p>
      <w:pPr/>
      <w:r>
        <w:t>Juridiction compétente : Abidjan.</w:t>
      </w:r>
    </w:p>
    <w:p>
      <w:pPr>
        <w:jc w:val="center"/>
      </w:pPr>
      <w:r>
        <w:t>Fait à Abidjan, le 25 novembre 2025</w:t>
      </w:r>
    </w:p>
    <w:p>
      <w:pPr>
        <w:jc w:val="center"/>
      </w:pPr>
      <w:r>
        <w:br/>
        <w:t>Signatures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Jean-Marie Pironneau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Ambroise Bazie</w:t>
            </w:r>
          </w:p>
        </w:tc>
      </w:tr>
      <w:tr>
        <w:tc>
          <w:tcPr>
            <w:tcW w:type="dxa" w:w="4680"/>
          </w:tcPr>
          <w:p>
            <w:r>
              <w:t>_________________________</w:t>
            </w:r>
          </w:p>
        </w:tc>
        <w:tc>
          <w:tcPr>
            <w:tcW w:type="dxa" w:w="4680"/>
          </w:tcPr>
          <w:p>
            <w:r>
              <w:t>_________________________</w:t>
            </w:r>
          </w:p>
        </w:tc>
      </w:tr>
    </w:tbl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