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Naive Bayes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Naive Bayes.</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cla_nb</w:t>
      </w:r>
      <w:r>
        <w:rPr>
          <w:rStyle w:val="NormalTok"/>
        </w:rPr>
        <w:t xml:space="preserve">(</w:t>
      </w:r>
      <w:r>
        <w:rPr>
          <w:rStyle w:val="StringTok"/>
        </w:rPr>
        <w:t xml:space="preserve">"Species"</w:t>
      </w:r>
      <w:r>
        <w:rPr>
          <w:rStyle w:val="NormalTok"/>
        </w:rPr>
        <w:t xml:space="preserve">, slevels)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41 79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References</w:t>
      </w:r>
      <w:r>
        <w:t xml:space="preserve"> </w:t>
      </w:r>
      <w:r>
        <w:t xml:space="preserve">- Mitchell, T. (1997). Machine Learning. McGraw-Hill. (Naive Bayes)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2026-05-13T05:07:35Z</dcterms:created>
  <dcterms:modified xsi:type="dcterms:W3CDTF">2026-05-13T05:07:35Z</dcterms:modified>
</cp:coreProperties>
</file>

<file path=docProps/custom.xml><?xml version="1.0" encoding="utf-8"?>
<Properties xmlns="http://schemas.openxmlformats.org/officeDocument/2006/custom-properties" xmlns:vt="http://schemas.openxmlformats.org/officeDocument/2006/docPropsVTypes"/>
</file>