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didactic emphasis is different from classification and regression: there is no target to predict, but there is still a stable Experiment Line built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</w:p>
    <w:p>
      <w:pPr>
        <w:pStyle w:val="BodyText"/>
      </w:pPr>
      <w:r>
        <w:t xml:space="preserve">For learners, the key question here is: how do we configure the search space, filter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with association rules, where the user can constrain left-hand side, right-hand side, and quality thresholds through object properties.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discovers association rules and evaluates them with support, confidence, lift, and retained-pattern summaries.</w:t>
      </w:r>
    </w:p>
    <w:bookmarkEnd w:id="10"/>
    <w:bookmarkStart w:id="12" w:name="frequent-itemsets"/>
    <w:p>
      <w:pPr>
        <w:pStyle w:val="Heading2"/>
      </w:pPr>
      <w:r>
        <w:t xml:space="preserve">Frequent Itemsets</w:t>
      </w:r>
    </w:p>
    <w:p>
      <w:pPr>
        <w:pStyle w:val="FirstParagraph"/>
      </w:pPr>
      <w:r>
        <w:t xml:space="preserve">Move next to itemset discovery, where the focus is on which items frequently appear together rather than directional rules.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mines frequent itemsets and shows how include/exclude filters and quality summaries guide interpretation.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sequences, where order matters and the interpretation shifts from co-occurrence to recurring temporal/event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03-cspade-sequences.md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support, pattern count, and sequence length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02-eclat-itemsets.md" TargetMode="External" /><Relationship Type="http://schemas.openxmlformats.org/officeDocument/2006/relationships/hyperlink" Id="rId13" Target="/examples/patterns/03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02-eclat-itemsets.md" TargetMode="External" /><Relationship Type="http://schemas.openxmlformats.org/officeDocument/2006/relationships/hyperlink" Id="rId13" Target="/examples/patterns/03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2026-05-13T05:08:07Z</dcterms:created>
  <dcterms:modified xsi:type="dcterms:W3CDTF">2026-05-13T05:08:07Z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