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This example helps the reader move from classification intuition to numeric prediction without changing the overall Experiment Line structure.</w:t>
      </w:r>
    </w:p>
    <w:p>
      <w:pPr>
        <w:pStyle w:val="BodyText"/>
      </w:pPr>
      <w:r>
        <w:t xml:space="preserve">Didactic goal: notice what stays the same in the workflow and what changes in the interpretation when the target becomes continuous.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learner definition is still compact, even though the target is numeric.</w:t>
      </w:r>
      <w:r>
        <w:t xml:space="preserve"> </w:t>
      </w:r>
      <w:r>
        <w:t xml:space="preserve">- The main conceptual change is in the evaluation stage, not in the fitting logic.</w:t>
      </w:r>
    </w:p>
    <w:p>
      <w:pPr>
        <w:pStyle w:val="BodyText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Interpreting regression metrics with the same intuition used for classification accuracy.</w:t>
      </w:r>
      <w:r>
        <w:t xml:space="preserve"> </w:t>
      </w:r>
      <w:r>
        <w:t xml:space="preserve">- Ignoring the scale of the target variable when reading RMSE or MAE.</w:t>
      </w:r>
      <w:r>
        <w:t xml:space="preserve"> </w:t>
      </w:r>
      <w:r>
        <w:t xml:space="preserve">- Treating a good training error as evidence of good predictive performance.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2026-05-13T05:08:07Z</dcterms:created>
  <dcterms:modified xsi:type="dcterms:W3CDTF">2026-05-13T05:08:07Z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