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Example: tuning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inspect.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Train/test split for tuning validation.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Hyperparameter grid configuration and search training.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The tuning object keeps the parameter grid internally, so the Experiment Line remains the same: configure the object, call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, then reuse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on the selected model.</w:t>
      </w:r>
    </w:p>
    <w:p>
      <w:pPr>
        <w:pStyle w:val="BodyText"/>
      </w:pPr>
      <w:r>
        <w:t xml:space="preserve">Training evaluation with the best hyperparameters.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2.126669 0.05007261 0.9732736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9.302181 0.1046432 0.9094052</w:t>
      </w:r>
    </w:p>
    <w:p>
      <w:pPr>
        <w:pStyle w:val="FirstParagraph"/>
      </w:pPr>
      <w:r>
        <w:t xml:space="preserve">Example grids for other models.</w:t>
      </w:r>
    </w:p>
    <w:p>
      <w:pPr>
        <w:pStyle w:val="SourceCode"/>
      </w:pPr>
      <w:r>
        <w:rPr>
          <w:rStyle w:val="CommentTok"/>
        </w:rPr>
        <w:t xml:space="preserve"># Options for other models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2026-05-13T05:08:21Z</dcterms:created>
  <dcterms:modified xsi:type="dcterms:W3CDTF">2026-05-13T05:08:21Z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