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sample_groups</w:t>
      </w:r>
      <w:r>
        <w:t xml:space="preserve">: samples whole groups defined by a categorical attribute.</w:t>
      </w:r>
    </w:p>
    <w:p>
      <w:pPr>
        <w:pStyle w:val="BodyText"/>
      </w:pPr>
      <w:r>
        <w:t xml:space="preserve">Didactic goal: show a sampling strategy where the unit of selection is the group, not the individual row. In sampling theory, this is known as cluster sampling (also called one-stage cluster sampling or sampling by groups). Here,</w:t>
      </w:r>
      <w:r>
        <w:t xml:space="preserve"> </w:t>
      </w:r>
      <w:r>
        <w:t xml:space="preserve">“cluster”</w:t>
      </w:r>
      <w:r>
        <w:t xml:space="preserve"> </w:t>
      </w:r>
      <w:r>
        <w:t xml:space="preserve">means a pre-existing group in the data, not a group inferred by k-means or another clustering algorithm. This matters when preserving within-group structure is more important than preserving the global distribution exactly.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sample_groups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n_groups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iris_sc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(sc,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(iris_sc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 0         50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Entire species groups are kept or removed together in this toy example.</w:t>
      </w:r>
      <w:r>
        <w:t xml:space="preserve"> </w:t>
      </w:r>
      <w:r>
        <w:t xml:space="preserve">- In practice, this kind of sampling is useful when rows belong to natural blocks that should not be split arbitrarily.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2026-05-14T02:36:06Z</dcterms:created>
  <dcterms:modified xsi:type="dcterms:W3CDTF">2026-05-14T02:36:06Z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