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This example is a good entry point for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because the learner is easy to explain and the workflow is fully visible from start to finish.</w:t>
      </w:r>
    </w:p>
    <w:p>
      <w:pPr>
        <w:pStyle w:val="BodyText"/>
      </w:pPr>
      <w:r>
        <w:t xml:space="preserve">Didactic goal: use the tree as a way to learn the whole supervised workflow, not only the classifier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metrics usually look slightly better than the test metrics because the tree was fit on this same data.</w:t>
      </w:r>
      <w:r>
        <w:t xml:space="preserve"> </w:t>
      </w:r>
      <w:r>
        <w:t xml:space="preserve">- A decision tree is often useful as a first model because you can explain its behavior more easily than that of a black-box learner.</w:t>
      </w:r>
    </w:p>
    <w:p>
      <w:pPr>
        <w:pStyle w:val="BodyText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Reading the training metric as if it were the final quality estimate.</w:t>
      </w:r>
      <w:r>
        <w:t xml:space="preserve"> </w:t>
      </w:r>
      <w:r>
        <w:t xml:space="preserve">- Forgetting to preserve the target levels before fitting the classifier.</w:t>
      </w:r>
      <w:r>
        <w:t xml:space="preserve"> </w:t>
      </w:r>
      <w:r>
        <w:t xml:space="preserve">- Comparing this result with another model trained on a different split.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2026-05-13T01:38:42Z</dcterms:created>
  <dcterms:modified xsi:type="dcterms:W3CDTF">2026-05-13T01:38:42Z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